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楚雄高新技术产业开发区政府信息公开基本目录</w:t>
      </w:r>
    </w:p>
    <w:tbl>
      <w:tblPr>
        <w:tblStyle w:val="3"/>
        <w:tblW w:w="15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1095"/>
        <w:gridCol w:w="1245"/>
        <w:gridCol w:w="3630"/>
        <w:gridCol w:w="1680"/>
        <w:gridCol w:w="1260"/>
        <w:gridCol w:w="1185"/>
        <w:gridCol w:w="1455"/>
        <w:gridCol w:w="1605"/>
        <w:gridCol w:w="495"/>
        <w:gridCol w:w="435"/>
        <w:gridCol w:w="450"/>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5"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序号</w:t>
            </w:r>
          </w:p>
        </w:tc>
        <w:tc>
          <w:tcPr>
            <w:tcW w:w="234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公开事项</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公开内容</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公开依据</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公开主体</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责任科室</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公开时限</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和载体</w:t>
            </w:r>
          </w:p>
        </w:tc>
        <w:tc>
          <w:tcPr>
            <w:tcW w:w="93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对象</w:t>
            </w:r>
          </w:p>
        </w:tc>
        <w:tc>
          <w:tcPr>
            <w:tcW w:w="886"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45"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一级事项</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二级事项</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全社会</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特定群体</w:t>
            </w: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主动公开</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40"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组织机构</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办公室基本信息（办公地址、网址、联系电话、传真、电子邮箱、通讯地址、邮政编码等）。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4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领导信息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政府及办公室领导姓名、职务、照片、分工。</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4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主要职责</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办公室职能职责。</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625"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内设机构</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办公室内设科室职能，联系电话。</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90"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政策法规</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政府文件</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楚开管通、公告、楚开管办（通知类）、楚开管决和其他（通知、公告类）文件。</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eastAsia="zh-CN"/>
              </w:rPr>
              <w:t>调研科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89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政策解读</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各类政策文件的解读材料</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《中华人民共和国政府信息公开条例》（国务院令第711号）、《国务院办公厅印发〈关于全面推进政务公开工作的意见〉实施细则的通知》（国办发〔2016〕80号）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eastAsia="zh-CN"/>
              </w:rPr>
              <w:t>调研科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政策文件公开后3个工作日内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规划计划</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发展规划</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楚雄</w:t>
            </w:r>
            <w:r>
              <w:rPr>
                <w:rFonts w:hint="eastAsia" w:asciiTheme="minorEastAsia" w:hAnsiTheme="minorEastAsia" w:eastAsiaTheme="minorEastAsia" w:cstheme="minorEastAsia"/>
                <w:i w:val="0"/>
                <w:caps w:val="0"/>
                <w:color w:val="000000"/>
                <w:spacing w:val="0"/>
                <w:sz w:val="21"/>
                <w:szCs w:val="21"/>
                <w:shd w:val="clear" w:fill="FFFFFF"/>
                <w:lang w:eastAsia="zh-CN"/>
              </w:rPr>
              <w:t>高新技术产业开发区</w:t>
            </w:r>
            <w:r>
              <w:rPr>
                <w:rFonts w:hint="eastAsia" w:asciiTheme="minorEastAsia" w:hAnsiTheme="minorEastAsia" w:eastAsiaTheme="minorEastAsia" w:cstheme="minorEastAsia"/>
                <w:i w:val="0"/>
                <w:caps w:val="0"/>
                <w:color w:val="000000"/>
                <w:spacing w:val="0"/>
                <w:sz w:val="21"/>
                <w:szCs w:val="21"/>
                <w:shd w:val="clear" w:fill="FFFFFF"/>
              </w:rPr>
              <w:t>经济和社会发展规划、专项规划、区域规划及相关政策等。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调研科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人事管理</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人事信息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人事任免公告，招考、遴选通知，录用公示等。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楚雄高新区党群工作局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人事人才科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概况信息</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ascii="微软雅黑" w:hAnsi="微软雅黑" w:eastAsia="微软雅黑" w:cs="微软雅黑"/>
                <w:i w:val="0"/>
                <w:caps w:val="0"/>
                <w:color w:val="000000"/>
                <w:spacing w:val="0"/>
                <w:sz w:val="21"/>
                <w:szCs w:val="21"/>
                <w:shd w:val="clear" w:fill="FFFFFF"/>
              </w:rPr>
              <w:t>区情简介</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楚雄</w:t>
            </w:r>
            <w:r>
              <w:rPr>
                <w:rFonts w:hint="eastAsia" w:asciiTheme="minorEastAsia" w:hAnsiTheme="minorEastAsia" w:eastAsiaTheme="minorEastAsia" w:cstheme="minorEastAsia"/>
                <w:i w:val="0"/>
                <w:caps w:val="0"/>
                <w:color w:val="000000"/>
                <w:spacing w:val="0"/>
                <w:sz w:val="21"/>
                <w:szCs w:val="21"/>
                <w:shd w:val="clear" w:fill="FFFFFF"/>
                <w:lang w:eastAsia="zh-CN"/>
              </w:rPr>
              <w:t>高新技术产业开发区</w:t>
            </w:r>
            <w:r>
              <w:rPr>
                <w:rFonts w:hint="eastAsia" w:asciiTheme="minorEastAsia" w:hAnsiTheme="minorEastAsia" w:eastAsiaTheme="minorEastAsia" w:cstheme="minorEastAsia"/>
                <w:i w:val="0"/>
                <w:caps w:val="0"/>
                <w:color w:val="000000"/>
                <w:spacing w:val="0"/>
                <w:sz w:val="21"/>
                <w:szCs w:val="21"/>
                <w:shd w:val="clear" w:fill="FFFFFF"/>
              </w:rPr>
              <w:t>行政区划、发展优势、地理位置、综合实力等信息。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调研科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05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ascii="微软雅黑" w:hAnsi="微软雅黑" w:eastAsia="微软雅黑" w:cs="微软雅黑"/>
                <w:i w:val="0"/>
                <w:caps w:val="0"/>
                <w:color w:val="000000"/>
                <w:spacing w:val="0"/>
                <w:sz w:val="21"/>
                <w:szCs w:val="21"/>
                <w:shd w:val="clear" w:fill="FFFFFF"/>
              </w:rPr>
              <w:t>经济工作会报告</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ascii="微软雅黑" w:hAnsi="微软雅黑" w:eastAsia="微软雅黑" w:cs="微软雅黑"/>
                <w:i w:val="0"/>
                <w:caps w:val="0"/>
                <w:color w:val="000000"/>
                <w:spacing w:val="0"/>
                <w:sz w:val="21"/>
                <w:szCs w:val="21"/>
                <w:shd w:val="clear" w:fill="FFFFFF"/>
              </w:rPr>
              <w:t>经济工作会报告</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楚雄高新</w:t>
            </w:r>
            <w:r>
              <w:rPr>
                <w:rFonts w:hint="eastAsia" w:asciiTheme="minorEastAsia" w:hAnsiTheme="minorEastAsia" w:eastAsiaTheme="minorEastAsia" w:cstheme="minorEastAsia"/>
                <w:i w:val="0"/>
                <w:caps w:val="0"/>
                <w:color w:val="000000"/>
                <w:spacing w:val="0"/>
                <w:sz w:val="21"/>
                <w:szCs w:val="21"/>
                <w:shd w:val="clear" w:fill="FFFFFF"/>
                <w:lang w:eastAsia="zh-CN"/>
              </w:rPr>
              <w:t>技术产业开发</w:t>
            </w:r>
            <w:r>
              <w:rPr>
                <w:rFonts w:hint="eastAsia" w:asciiTheme="minorEastAsia" w:hAnsiTheme="minorEastAsia" w:eastAsiaTheme="minorEastAsia" w:cstheme="minorEastAsia"/>
                <w:i w:val="0"/>
                <w:caps w:val="0"/>
                <w:color w:val="000000"/>
                <w:spacing w:val="0"/>
                <w:sz w:val="21"/>
                <w:szCs w:val="21"/>
                <w:shd w:val="clear" w:fill="FFFFFF"/>
              </w:rPr>
              <w:t>区经济工作会报告</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调研科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68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财政信息</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财政预算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政府财政预算执行情况。</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《中华人民共和国政府信息公开条例》（国务院令第711号）、《财政部关于推进省以下预决算公开工作的通知》（财预〔2013〕309号）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68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财政决算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政府财政决算执行情况。</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《中华人民共和国政府信息公开条例》（国务院令第711号）、《财政部关于推进省以下预决算公开工作的通知》（财预〔2013〕309号）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000"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建议提案</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人大代表建议</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建议提案办理总体情况，办件复文。</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《中华人民共和国政府信息公开条例》（国务院令第711号）、《楚雄州人民政府办公室关于认真做好州人大代表建议和州政协提案办理结果公开工作的通知》</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楚雄高新区党政办公室室</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督查绩效科</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000"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政协委员提案</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政府信息公开管理</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政府信息公开指南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政府信息公开工作机构的名称、办公地址、办公时间、联系方式和政府信息主动公开的范围、渠道、时限，依申请公开的申请方式、答复时限，不予公开事项及监督保障渠道等内容。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85"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政府信息公开制度</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aps w:val="0"/>
                <w:color w:val="000000"/>
                <w:spacing w:val="0"/>
                <w:sz w:val="21"/>
                <w:szCs w:val="21"/>
                <w:shd w:val="clear" w:fill="FFFFFF"/>
              </w:rPr>
              <w:t>政府信息公开工作相关文件。</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政府信息公开目录</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政府信息主动公开基本目录</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68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bookmarkStart w:id="0" w:name="_GoBack"/>
            <w:bookmarkEnd w:id="0"/>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ascii="微软雅黑" w:hAnsi="微软雅黑" w:eastAsia="微软雅黑" w:cs="微软雅黑"/>
                <w:i w:val="0"/>
                <w:caps w:val="0"/>
                <w:color w:val="000000"/>
                <w:spacing w:val="0"/>
                <w:sz w:val="21"/>
                <w:szCs w:val="21"/>
                <w:shd w:val="clear" w:fill="FFFFFF"/>
              </w:rPr>
              <w:t>政府信息公开年报</w:t>
            </w:r>
          </w:p>
        </w:tc>
        <w:tc>
          <w:tcPr>
            <w:tcW w:w="3630" w:type="dxa"/>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shd w:val="clear" w:fill="FFFFFF"/>
              </w:rPr>
              <w:t>（1）本机关主动公开政府信息的情况；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shd w:val="clear" w:fill="FFFFFF"/>
              </w:rPr>
              <w:t>（2）本机关收到和处理政府信息公开申请的情况；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shd w:val="clear" w:fill="FFFFFF"/>
              </w:rPr>
              <w:t>（3）因政府信息公开工作被申请行政复议、提起行政诉讼的情况；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shd w:val="clear" w:fill="FFFFFF"/>
              </w:rPr>
              <w:t>（4）政府信息公开工作存在的主要问题及改进情况；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shd w:val="clear" w:fill="FFFFFF"/>
              </w:rPr>
              <w:t>（5）其他需要报告的事项。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楚雄高新区党政办公室室</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宣传信息科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次年1月31日前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bl>
    <w:p/>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565CE"/>
    <w:rsid w:val="17E02580"/>
    <w:rsid w:val="24937EB1"/>
    <w:rsid w:val="29CB1756"/>
    <w:rsid w:val="2A07117D"/>
    <w:rsid w:val="34B82D7E"/>
    <w:rsid w:val="4D807B3D"/>
    <w:rsid w:val="4FC565CE"/>
    <w:rsid w:val="53D85387"/>
    <w:rsid w:val="66F12168"/>
    <w:rsid w:val="6B274E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2023-08-02T09:31:00Z</dcterms:created>
  <dc:creator>孙开有</dc:creator>
  <cp:lastModifiedBy>Administrator</cp:lastModifiedBy>
  <dcterms:modified xsi:type="dcterms:W3CDTF">2024-08-19T08:39:56Z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