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90" w:lineRule="exact"/>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黑体" w:cs="Times New Roman"/>
          <w:kern w:val="0"/>
          <w:sz w:val="30"/>
          <w:szCs w:val="30"/>
          <w:highlight w:val="none"/>
          <w:u w:val="none"/>
          <w:lang w:val="en-US" w:eastAsia="zh-CN" w:bidi="ar-SA"/>
        </w:rPr>
        <w:t>附件</w:t>
      </w:r>
      <w:r>
        <w:rPr>
          <w:rFonts w:hint="eastAsia" w:ascii="Times New Roman" w:hAnsi="Times New Roman" w:eastAsia="黑体" w:cs="Times New Roman"/>
          <w:kern w:val="0"/>
          <w:sz w:val="30"/>
          <w:szCs w:val="30"/>
          <w:highlight w:val="none"/>
          <w:u w:val="none"/>
          <w:lang w:val="en-US" w:eastAsia="zh-CN" w:bidi="ar-SA"/>
        </w:rPr>
        <w:t>4</w:t>
      </w:r>
    </w:p>
    <w:p>
      <w:pPr>
        <w:keepNext w:val="0"/>
        <w:keepLines w:val="0"/>
        <w:pageBreakBefore w:val="0"/>
        <w:widowControl/>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仿宋_GB2312" w:cs="Times New Roman"/>
          <w:color w:val="auto"/>
          <w:sz w:val="32"/>
          <w:szCs w:val="32"/>
          <w:highlight w:val="none"/>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90" w:lineRule="exact"/>
        <w:jc w:val="center"/>
        <w:textAlignment w:val="auto"/>
        <w:rPr>
          <w:rFonts w:hint="default" w:ascii="Times New Roman" w:hAnsi="Times New Roman" w:eastAsia="黑体" w:cs="Times New Roman"/>
          <w:kern w:val="0"/>
          <w:sz w:val="30"/>
          <w:szCs w:val="30"/>
          <w:highlight w:val="none"/>
          <w:u w:val="none"/>
          <w:lang w:val="en-US" w:eastAsia="zh-CN" w:bidi="ar-SA"/>
        </w:rPr>
      </w:pPr>
      <w:r>
        <w:rPr>
          <w:rFonts w:hint="default" w:ascii="Times New Roman" w:hAnsi="Times New Roman" w:eastAsia="方正小标宋简体" w:cs="Times New Roman"/>
          <w:color w:val="auto"/>
          <w:kern w:val="2"/>
          <w:sz w:val="36"/>
          <w:szCs w:val="36"/>
          <w:lang w:val="en-US" w:eastAsia="zh-CN" w:bidi="ar-SA"/>
        </w:rPr>
        <w:t>楚雄高新区联合专项科技创新项目资金预算编制提纲</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仿宋_GB2312" w:cs="Times New Roman"/>
          <w:color w:val="auto"/>
          <w:sz w:val="30"/>
          <w:szCs w:val="30"/>
          <w:highlight w:val="none"/>
        </w:rPr>
      </w:pP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概述：项目</w:t>
      </w:r>
      <w:r>
        <w:rPr>
          <w:rFonts w:hint="default" w:ascii="Times New Roman" w:hAnsi="Times New Roman" w:eastAsia="仿宋_GB2312" w:cs="Times New Roman"/>
          <w:color w:val="auto"/>
          <w:sz w:val="30"/>
          <w:szCs w:val="30"/>
          <w:highlight w:val="none"/>
          <w:lang w:val="en-US" w:eastAsia="zh-CN"/>
        </w:rPr>
        <w:t>牵头</w:t>
      </w:r>
      <w:r>
        <w:rPr>
          <w:rFonts w:hint="default" w:ascii="Times New Roman" w:hAnsi="Times New Roman" w:eastAsia="仿宋_GB2312" w:cs="Times New Roman"/>
          <w:color w:val="auto"/>
          <w:sz w:val="30"/>
          <w:szCs w:val="30"/>
          <w:highlight w:val="none"/>
        </w:rPr>
        <w:t>单位及</w:t>
      </w:r>
      <w:r>
        <w:rPr>
          <w:rFonts w:hint="default" w:ascii="Times New Roman" w:hAnsi="Times New Roman" w:eastAsia="仿宋_GB2312" w:cs="Times New Roman"/>
          <w:color w:val="auto"/>
          <w:sz w:val="30"/>
          <w:szCs w:val="30"/>
          <w:highlight w:val="none"/>
          <w:lang w:eastAsia="zh-CN"/>
        </w:rPr>
        <w:t>项目参加单位</w:t>
      </w:r>
      <w:r>
        <w:rPr>
          <w:rFonts w:hint="default" w:ascii="Times New Roman" w:hAnsi="Times New Roman" w:eastAsia="仿宋_GB2312" w:cs="Times New Roman"/>
          <w:color w:val="auto"/>
          <w:sz w:val="30"/>
          <w:szCs w:val="30"/>
          <w:highlight w:val="none"/>
        </w:rPr>
        <w:t>的基本情况（含现有设备仪器情况）、财务状况，科研、财务制度建设及执行情况等。</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rPr>
        <w:t>一、项目资金预算</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项目总预算（若有</w:t>
      </w:r>
      <w:r>
        <w:rPr>
          <w:rFonts w:hint="default" w:ascii="Times New Roman" w:hAnsi="Times New Roman" w:eastAsia="仿宋_GB2312" w:cs="Times New Roman"/>
          <w:color w:val="auto"/>
          <w:sz w:val="30"/>
          <w:szCs w:val="30"/>
          <w:highlight w:val="none"/>
          <w:lang w:eastAsia="zh-CN"/>
        </w:rPr>
        <w:t>项目参加单位</w:t>
      </w:r>
      <w:r>
        <w:rPr>
          <w:rFonts w:hint="default" w:ascii="Times New Roman" w:hAnsi="Times New Roman" w:eastAsia="仿宋_GB2312" w:cs="Times New Roman"/>
          <w:color w:val="auto"/>
          <w:sz w:val="30"/>
          <w:szCs w:val="30"/>
          <w:highlight w:val="none"/>
        </w:rPr>
        <w:t>的需说明各</w:t>
      </w:r>
      <w:r>
        <w:rPr>
          <w:rFonts w:hint="default" w:ascii="Times New Roman" w:hAnsi="Times New Roman" w:eastAsia="仿宋_GB2312" w:cs="Times New Roman"/>
          <w:color w:val="auto"/>
          <w:sz w:val="30"/>
          <w:szCs w:val="30"/>
          <w:highlight w:val="none"/>
          <w:lang w:eastAsia="zh-CN"/>
        </w:rPr>
        <w:t>项目参加单位</w:t>
      </w:r>
      <w:r>
        <w:rPr>
          <w:rFonts w:hint="default" w:ascii="Times New Roman" w:hAnsi="Times New Roman" w:eastAsia="仿宋_GB2312" w:cs="Times New Roman"/>
          <w:color w:val="auto"/>
          <w:sz w:val="30"/>
          <w:szCs w:val="30"/>
          <w:highlight w:val="none"/>
        </w:rPr>
        <w:t>的资金预算额度）、来源构成及分年度使用计划。</w:t>
      </w:r>
    </w:p>
    <w:p>
      <w:pPr>
        <w:keepNext w:val="0"/>
        <w:keepLines w:val="0"/>
        <w:pageBreakBefore w:val="0"/>
        <w:kinsoku/>
        <w:wordWrap/>
        <w:overflowPunct/>
        <w:topLinePunct w:val="0"/>
        <w:autoSpaceDE/>
        <w:autoSpaceDN/>
        <w:bidi w:val="0"/>
        <w:spacing w:after="0" w:line="590" w:lineRule="exact"/>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rPr>
        <w:t>二、项目绩效目标</w:t>
      </w:r>
    </w:p>
    <w:tbl>
      <w:tblPr>
        <w:tblStyle w:val="8"/>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550"/>
        <w:gridCol w:w="1517"/>
        <w:gridCol w:w="1366"/>
        <w:gridCol w:w="1984"/>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07"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黑体" w:cs="Times New Roman"/>
                <w:bCs/>
                <w:color w:val="auto"/>
                <w:kern w:val="0"/>
                <w:sz w:val="24"/>
                <w:szCs w:val="24"/>
                <w:highlight w:val="none"/>
                <w:lang w:val="en-US" w:eastAsia="zh-CN"/>
              </w:rPr>
            </w:pPr>
            <w:r>
              <w:rPr>
                <w:rFonts w:hint="default" w:ascii="Times New Roman" w:hAnsi="Times New Roman" w:eastAsia="黑体" w:cs="Times New Roman"/>
                <w:bCs/>
                <w:color w:val="auto"/>
                <w:kern w:val="0"/>
                <w:sz w:val="24"/>
                <w:szCs w:val="24"/>
                <w:highlight w:val="none"/>
                <w:lang w:val="en-US" w:eastAsia="zh-CN"/>
              </w:rPr>
              <w:t xml:space="preserve">项目绩效目标描述（包括总任务、总产出、总效益等）： </w:t>
            </w:r>
          </w:p>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color w:val="auto"/>
                <w:sz w:val="32"/>
                <w:highlight w:val="none"/>
                <w:lang w:val="en-US" w:eastAsia="zh-CN"/>
              </w:rPr>
            </w:pPr>
          </w:p>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color w:val="auto"/>
                <w:sz w:val="32"/>
                <w:highlight w:val="none"/>
                <w:lang w:val="en-US" w:eastAsia="zh-CN"/>
              </w:rPr>
            </w:pPr>
          </w:p>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color w:val="auto"/>
                <w:sz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1"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lang w:val="en-US" w:eastAsia="zh-CN"/>
              </w:rPr>
            </w:pPr>
            <w:r>
              <w:rPr>
                <w:rFonts w:hint="default" w:ascii="Times New Roman" w:hAnsi="Times New Roman" w:eastAsia="黑体" w:cs="Times New Roman"/>
                <w:bCs/>
                <w:color w:val="auto"/>
                <w:kern w:val="0"/>
                <w:sz w:val="24"/>
                <w:szCs w:val="24"/>
                <w:highlight w:val="none"/>
                <w:lang w:val="en-US" w:eastAsia="zh-CN"/>
              </w:rPr>
              <w:t>项目绩效指标</w:t>
            </w:r>
          </w:p>
        </w:tc>
        <w:tc>
          <w:tcPr>
            <w:tcW w:w="1366"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lang w:val="en-US" w:eastAsia="zh-CN"/>
              </w:rPr>
            </w:pPr>
            <w:r>
              <w:rPr>
                <w:rFonts w:hint="default" w:ascii="Times New Roman" w:hAnsi="Times New Roman" w:eastAsia="黑体" w:cs="Times New Roman"/>
                <w:bCs/>
                <w:color w:val="auto"/>
                <w:kern w:val="0"/>
                <w:sz w:val="24"/>
                <w:szCs w:val="24"/>
                <w:highlight w:val="none"/>
                <w:lang w:val="en-US" w:eastAsia="zh-CN"/>
              </w:rPr>
              <w:t>指标值</w:t>
            </w:r>
          </w:p>
        </w:tc>
        <w:tc>
          <w:tcPr>
            <w:tcW w:w="1984"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lang w:val="en-US" w:eastAsia="zh-CN"/>
              </w:rPr>
            </w:pPr>
            <w:r>
              <w:rPr>
                <w:rFonts w:hint="default" w:ascii="Times New Roman" w:hAnsi="Times New Roman" w:eastAsia="黑体" w:cs="Times New Roman"/>
                <w:bCs/>
                <w:color w:val="auto"/>
                <w:kern w:val="0"/>
                <w:sz w:val="24"/>
                <w:szCs w:val="24"/>
                <w:highlight w:val="none"/>
                <w:lang w:val="en-US" w:eastAsia="zh-CN"/>
              </w:rPr>
              <w:t>绩效指标值设定依据及数据来源</w:t>
            </w:r>
          </w:p>
        </w:tc>
        <w:tc>
          <w:tcPr>
            <w:tcW w:w="1186"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lang w:val="en-US" w:eastAsia="zh-CN"/>
              </w:rPr>
            </w:pPr>
            <w:r>
              <w:rPr>
                <w:rFonts w:hint="default" w:ascii="Times New Roman" w:hAnsi="Times New Roman" w:eastAsia="黑体" w:cs="Times New Roman"/>
                <w:bCs/>
                <w:color w:val="auto"/>
                <w:kern w:val="0"/>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4"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一级指标</w:t>
            </w:r>
          </w:p>
        </w:tc>
        <w:tc>
          <w:tcPr>
            <w:tcW w:w="1550"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二级指标</w:t>
            </w:r>
          </w:p>
        </w:tc>
        <w:tc>
          <w:tcPr>
            <w:tcW w:w="1517"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三级指标</w:t>
            </w: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504" w:type="dxa"/>
            <w:vMerge w:val="restart"/>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产出指标</w:t>
            </w:r>
          </w:p>
        </w:tc>
        <w:tc>
          <w:tcPr>
            <w:tcW w:w="1550"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数量指标</w:t>
            </w:r>
          </w:p>
        </w:tc>
        <w:tc>
          <w:tcPr>
            <w:tcW w:w="1517"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04" w:type="dxa"/>
            <w:vMerge w:val="continue"/>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550"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517"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4" w:type="dxa"/>
            <w:vMerge w:val="continue"/>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550"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质量指标</w:t>
            </w:r>
          </w:p>
        </w:tc>
        <w:tc>
          <w:tcPr>
            <w:tcW w:w="1517"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4" w:type="dxa"/>
            <w:vMerge w:val="continue"/>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550"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517"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4" w:type="dxa"/>
            <w:vMerge w:val="restart"/>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效益指标</w:t>
            </w:r>
          </w:p>
        </w:tc>
        <w:tc>
          <w:tcPr>
            <w:tcW w:w="1550"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社会效益</w:t>
            </w:r>
          </w:p>
        </w:tc>
        <w:tc>
          <w:tcPr>
            <w:tcW w:w="1517"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4" w:type="dxa"/>
            <w:vMerge w:val="continue"/>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550"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517"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4" w:type="dxa"/>
            <w:vMerge w:val="restart"/>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满意度</w:t>
            </w:r>
          </w:p>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指  标</w:t>
            </w:r>
          </w:p>
        </w:tc>
        <w:tc>
          <w:tcPr>
            <w:tcW w:w="1550"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服务对象满意度</w:t>
            </w:r>
          </w:p>
        </w:tc>
        <w:tc>
          <w:tcPr>
            <w:tcW w:w="1517"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4" w:type="dxa"/>
            <w:vMerge w:val="continue"/>
            <w:vAlign w:val="center"/>
          </w:tcPr>
          <w:p>
            <w:pPr>
              <w:keepNext w:val="0"/>
              <w:keepLines w:val="0"/>
              <w:kinsoku/>
              <w:wordWrap/>
              <w:overflowPunct/>
              <w:topLinePunct w:val="0"/>
              <w:bidi w:val="0"/>
              <w:spacing w:line="590" w:lineRule="exact"/>
              <w:jc w:val="center"/>
              <w:rPr>
                <w:rFonts w:hint="default" w:ascii="Times New Roman" w:hAnsi="Times New Roman" w:eastAsia="仿宋_GB2312" w:cs="Times New Roman"/>
                <w:color w:val="auto"/>
                <w:sz w:val="24"/>
                <w:szCs w:val="24"/>
                <w:highlight w:val="none"/>
              </w:rPr>
            </w:pPr>
          </w:p>
        </w:tc>
        <w:tc>
          <w:tcPr>
            <w:tcW w:w="1550" w:type="dxa"/>
            <w:vAlign w:val="center"/>
          </w:tcPr>
          <w:p>
            <w:pPr>
              <w:keepNext w:val="0"/>
              <w:keepLines w:val="0"/>
              <w:kinsoku/>
              <w:wordWrap/>
              <w:overflowPunct/>
              <w:topLinePunct w:val="0"/>
              <w:bidi w:val="0"/>
              <w:spacing w:line="59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517" w:type="dxa"/>
            <w:vAlign w:val="center"/>
          </w:tcPr>
          <w:p>
            <w:pPr>
              <w:keepNext w:val="0"/>
              <w:keepLines w:val="0"/>
              <w:kinsoku/>
              <w:wordWrap/>
              <w:overflowPunct/>
              <w:topLinePunct w:val="0"/>
              <w:bidi w:val="0"/>
              <w:spacing w:line="59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spacing w:line="59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spacing w:line="59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spacing w:line="590" w:lineRule="exact"/>
              <w:jc w:val="center"/>
              <w:rPr>
                <w:rFonts w:hint="default" w:ascii="Times New Roman" w:hAnsi="Times New Roman" w:eastAsia="仿宋_GB2312" w:cs="Times New Roman"/>
                <w:color w:val="auto"/>
                <w:sz w:val="24"/>
                <w:szCs w:val="24"/>
                <w:highlight w:val="none"/>
              </w:rPr>
            </w:pPr>
          </w:p>
        </w:tc>
      </w:tr>
    </w:tbl>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rPr>
        <w:t>三、分科目说明预算支出主要内容及测算依据</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（一）直接费用</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黑体" w:cs="Times New Roman"/>
          <w:color w:val="auto"/>
          <w:sz w:val="30"/>
          <w:szCs w:val="30"/>
          <w:highlight w:val="none"/>
        </w:rPr>
      </w:pPr>
      <w:r>
        <w:rPr>
          <w:rFonts w:hint="default" w:ascii="Times New Roman" w:hAnsi="Times New Roman" w:eastAsia="仿宋_GB2312" w:cs="Times New Roman"/>
          <w:color w:val="auto"/>
          <w:kern w:val="0"/>
          <w:sz w:val="30"/>
          <w:szCs w:val="30"/>
          <w:highlight w:val="none"/>
        </w:rPr>
        <w:t>按照设备费、业务费、劳务费三类科目，结合科研任务按支出用途分别进行具体说明。对仪器设备购置、</w:t>
      </w:r>
      <w:r>
        <w:rPr>
          <w:rFonts w:hint="default" w:ascii="Times New Roman" w:hAnsi="Times New Roman" w:eastAsia="仿宋_GB2312" w:cs="Times New Roman"/>
          <w:color w:val="auto"/>
          <w:kern w:val="0"/>
          <w:sz w:val="30"/>
          <w:szCs w:val="30"/>
          <w:highlight w:val="none"/>
          <w:lang w:eastAsia="zh-CN"/>
        </w:rPr>
        <w:t>项目参加单位</w:t>
      </w:r>
      <w:r>
        <w:rPr>
          <w:rFonts w:hint="default" w:ascii="Times New Roman" w:hAnsi="Times New Roman" w:eastAsia="仿宋_GB2312" w:cs="Times New Roman"/>
          <w:color w:val="auto"/>
          <w:kern w:val="0"/>
          <w:sz w:val="30"/>
          <w:szCs w:val="30"/>
          <w:highlight w:val="none"/>
        </w:rPr>
        <w:t>资质及拟外拨资金进行重点说明，并申明现有的实施条件和从单位外部可能获得的共享服务。</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eastAsia="zh-CN"/>
        </w:rPr>
        <w:t>（二）</w:t>
      </w:r>
      <w:r>
        <w:rPr>
          <w:rFonts w:hint="default" w:ascii="Times New Roman" w:hAnsi="Times New Roman" w:eastAsia="仿宋_GB2312" w:cs="Times New Roman"/>
          <w:color w:val="auto"/>
          <w:sz w:val="30"/>
          <w:szCs w:val="30"/>
          <w:highlight w:val="none"/>
        </w:rPr>
        <w:t>间接费用（简要说明）</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rPr>
        <w:t>四、项目资金预算可行性评价</w:t>
      </w:r>
    </w:p>
    <w:p>
      <w:pPr>
        <w:pStyle w:val="2"/>
        <w:rPr>
          <w:rFonts w:hint="default" w:ascii="Times New Roman" w:hAnsi="Times New Roman" w:eastAsia="黑体" w:cs="Times New Roman"/>
          <w:color w:val="auto"/>
          <w:sz w:val="30"/>
          <w:szCs w:val="30"/>
          <w:highlight w:val="none"/>
        </w:rPr>
      </w:pPr>
    </w:p>
    <w:p>
      <w:pPr>
        <w:pStyle w:val="3"/>
        <w:rPr>
          <w:rFonts w:hint="default" w:ascii="Times New Roman" w:hAnsi="Times New Roman" w:eastAsia="黑体" w:cs="Times New Roman"/>
          <w:color w:val="auto"/>
          <w:sz w:val="30"/>
          <w:szCs w:val="30"/>
          <w:highlight w:val="none"/>
        </w:rPr>
      </w:pPr>
    </w:p>
    <w:p>
      <w:pPr>
        <w:pStyle w:val="2"/>
        <w:rPr>
          <w:rFonts w:hint="default" w:ascii="Times New Roman" w:hAnsi="Times New Roman" w:eastAsia="黑体" w:cs="Times New Roman"/>
          <w:color w:val="auto"/>
          <w:sz w:val="30"/>
          <w:szCs w:val="30"/>
          <w:highlight w:val="none"/>
        </w:rPr>
      </w:pPr>
    </w:p>
    <w:p>
      <w:pPr>
        <w:pStyle w:val="3"/>
        <w:rPr>
          <w:rFonts w:hint="default" w:ascii="Times New Roman" w:hAnsi="Times New Roman" w:eastAsia="黑体" w:cs="Times New Roman"/>
          <w:color w:val="auto"/>
          <w:sz w:val="30"/>
          <w:szCs w:val="30"/>
          <w:highlight w:val="none"/>
        </w:rPr>
      </w:pPr>
    </w:p>
    <w:p>
      <w:pPr>
        <w:pStyle w:val="2"/>
        <w:rPr>
          <w:rFonts w:hint="default" w:ascii="Times New Roman" w:hAnsi="Times New Roman" w:eastAsia="黑体" w:cs="Times New Roman"/>
          <w:color w:val="auto"/>
          <w:sz w:val="30"/>
          <w:szCs w:val="30"/>
          <w:highlight w:val="none"/>
        </w:rPr>
      </w:pPr>
    </w:p>
    <w:p>
      <w:pPr>
        <w:rPr>
          <w:rFonts w:hint="default" w:ascii="Times New Roman" w:hAnsi="Times New Roman" w:eastAsia="黑体" w:cs="Times New Roman"/>
          <w:b w:val="0"/>
          <w:bCs/>
          <w:color w:val="auto"/>
          <w:kern w:val="0"/>
          <w:sz w:val="30"/>
          <w:szCs w:val="30"/>
          <w:highlight w:val="none"/>
          <w:lang w:eastAsia="zh-CN"/>
        </w:rPr>
      </w:pPr>
    </w:p>
    <w:p>
      <w:pPr>
        <w:pStyle w:val="3"/>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黑体" w:cs="Times New Roman"/>
          <w:b w:val="0"/>
          <w:bCs/>
          <w:color w:val="auto"/>
          <w:kern w:val="0"/>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黑体" w:cs="Times New Roman"/>
          <w:b w:val="0"/>
          <w:bCs/>
          <w:color w:val="auto"/>
          <w:kern w:val="0"/>
          <w:sz w:val="30"/>
          <w:szCs w:val="30"/>
          <w:highlight w:val="none"/>
          <w:lang w:val="en-US" w:eastAsia="zh-CN"/>
        </w:rPr>
      </w:pPr>
      <w:r>
        <w:rPr>
          <w:rFonts w:hint="default" w:ascii="Times New Roman" w:hAnsi="Times New Roman" w:eastAsia="黑体" w:cs="Times New Roman"/>
          <w:b w:val="0"/>
          <w:bCs/>
          <w:color w:val="auto"/>
          <w:kern w:val="0"/>
          <w:sz w:val="30"/>
          <w:szCs w:val="30"/>
          <w:highlight w:val="none"/>
          <w:lang w:eastAsia="zh-CN"/>
        </w:rPr>
        <w:t>附表</w:t>
      </w:r>
      <w:r>
        <w:rPr>
          <w:rFonts w:hint="eastAsia" w:ascii="Times New Roman" w:hAnsi="Times New Roman" w:eastAsia="黑体" w:cs="Times New Roman"/>
          <w:b w:val="0"/>
          <w:bCs/>
          <w:color w:val="auto"/>
          <w:kern w:val="0"/>
          <w:sz w:val="30"/>
          <w:szCs w:val="30"/>
          <w:highlight w:val="none"/>
          <w:lang w:val="en-US" w:eastAsia="zh-CN"/>
        </w:rPr>
        <w:t>4</w:t>
      </w:r>
      <w:r>
        <w:rPr>
          <w:rFonts w:hint="default" w:ascii="Times New Roman" w:hAnsi="Times New Roman" w:eastAsia="黑体" w:cs="Times New Roman"/>
          <w:b w:val="0"/>
          <w:bCs/>
          <w:color w:val="auto"/>
          <w:kern w:val="0"/>
          <w:sz w:val="30"/>
          <w:szCs w:val="30"/>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方正小标宋简体" w:cs="Times New Roman"/>
          <w:bCs/>
          <w:color w:val="auto"/>
          <w:kern w:val="0"/>
          <w:sz w:val="36"/>
          <w:szCs w:val="36"/>
          <w:highlight w:val="none"/>
        </w:rPr>
      </w:pPr>
    </w:p>
    <w:p>
      <w:pPr>
        <w:jc w:val="center"/>
        <w:rPr>
          <w:rFonts w:hint="default" w:ascii="Times New Roman" w:hAnsi="Times New Roman" w:eastAsia="方正小标宋简体" w:cs="Times New Roman"/>
          <w:bCs/>
          <w:color w:val="auto"/>
          <w:kern w:val="0"/>
          <w:sz w:val="36"/>
          <w:szCs w:val="36"/>
          <w:highlight w:val="none"/>
        </w:rPr>
      </w:pPr>
      <w:r>
        <w:rPr>
          <w:rFonts w:hint="default" w:ascii="Times New Roman" w:hAnsi="Times New Roman" w:eastAsia="方正小标宋简体" w:cs="Times New Roman"/>
          <w:bCs/>
          <w:color w:val="auto"/>
          <w:kern w:val="0"/>
          <w:sz w:val="36"/>
          <w:szCs w:val="36"/>
          <w:highlight w:val="none"/>
        </w:rPr>
        <w:t>项目资金预算表</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right"/>
        <w:textAlignment w:val="auto"/>
        <w:rPr>
          <w:rFonts w:hint="default" w:ascii="Times New Roman" w:hAnsi="Times New Roman" w:cs="Times New Roman"/>
          <w:lang w:eastAsia="zh-CN"/>
        </w:rPr>
      </w:pPr>
      <w:r>
        <w:rPr>
          <w:rFonts w:hint="default" w:ascii="Times New Roman" w:hAnsi="Times New Roman" w:eastAsia="仿宋_GB2312" w:cs="Times New Roman"/>
          <w:color w:val="auto"/>
          <w:kern w:val="0"/>
          <w:sz w:val="30"/>
          <w:szCs w:val="30"/>
          <w:highlight w:val="none"/>
        </w:rPr>
        <w:t>单位：</w:t>
      </w:r>
      <w:r>
        <w:rPr>
          <w:rFonts w:hint="default" w:ascii="Times New Roman" w:hAnsi="Times New Roman" w:eastAsia="仿宋_GB2312" w:cs="Times New Roman"/>
          <w:color w:val="auto"/>
          <w:kern w:val="0"/>
          <w:sz w:val="30"/>
          <w:szCs w:val="30"/>
          <w:highlight w:val="none"/>
          <w:lang w:eastAsia="zh-CN"/>
        </w:rPr>
        <w:t>万元</w:t>
      </w:r>
    </w:p>
    <w:tbl>
      <w:tblPr>
        <w:tblStyle w:val="8"/>
        <w:tblpPr w:leftFromText="180" w:rightFromText="180" w:vertAnchor="text" w:horzAnchor="page" w:tblpX="1622" w:tblpY="112"/>
        <w:tblOverlap w:val="never"/>
        <w:tblW w:w="8807" w:type="dxa"/>
        <w:tblInd w:w="108" w:type="dxa"/>
        <w:tblLayout w:type="fixed"/>
        <w:tblCellMar>
          <w:top w:w="0" w:type="dxa"/>
          <w:left w:w="108" w:type="dxa"/>
          <w:bottom w:w="0" w:type="dxa"/>
          <w:right w:w="108" w:type="dxa"/>
        </w:tblCellMar>
      </w:tblPr>
      <w:tblGrid>
        <w:gridCol w:w="2270"/>
        <w:gridCol w:w="1446"/>
        <w:gridCol w:w="410"/>
        <w:gridCol w:w="973"/>
        <w:gridCol w:w="677"/>
        <w:gridCol w:w="740"/>
        <w:gridCol w:w="1033"/>
        <w:gridCol w:w="1258"/>
      </w:tblGrid>
      <w:tr>
        <w:tblPrEx>
          <w:tblCellMar>
            <w:top w:w="0" w:type="dxa"/>
            <w:left w:w="108" w:type="dxa"/>
            <w:bottom w:w="0" w:type="dxa"/>
            <w:right w:w="108" w:type="dxa"/>
          </w:tblCellMar>
        </w:tblPrEx>
        <w:trPr>
          <w:trHeight w:val="703"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预算科目</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总预算数</w:t>
            </w:r>
          </w:p>
        </w:tc>
        <w:tc>
          <w:tcPr>
            <w:tcW w:w="1383"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财政资金</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自筹资金</w:t>
            </w: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备注</w:t>
            </w:r>
          </w:p>
        </w:tc>
      </w:tr>
      <w:tr>
        <w:tblPrEx>
          <w:tblCellMar>
            <w:top w:w="0" w:type="dxa"/>
            <w:left w:w="108" w:type="dxa"/>
            <w:bottom w:w="0" w:type="dxa"/>
            <w:right w:w="108" w:type="dxa"/>
          </w:tblCellMar>
        </w:tblPrEx>
        <w:trPr>
          <w:trHeight w:val="624" w:hRule="atLeast"/>
        </w:trPr>
        <w:tc>
          <w:tcPr>
            <w:tcW w:w="880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一、资金来源</w:t>
            </w:r>
          </w:p>
        </w:tc>
      </w:tr>
      <w:tr>
        <w:tblPrEx>
          <w:tblCellMar>
            <w:top w:w="0" w:type="dxa"/>
            <w:left w:w="108" w:type="dxa"/>
            <w:bottom w:w="0" w:type="dxa"/>
            <w:right w:w="108" w:type="dxa"/>
          </w:tblCellMar>
        </w:tblPrEx>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（一）财政资金</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r>
      <w:tr>
        <w:tblPrEx>
          <w:tblCellMar>
            <w:top w:w="0" w:type="dxa"/>
            <w:left w:w="108" w:type="dxa"/>
            <w:bottom w:w="0" w:type="dxa"/>
            <w:right w:w="108" w:type="dxa"/>
          </w:tblCellMar>
        </w:tblPrEx>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（二）自筹资金</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r>
      <w:tr>
        <w:tblPrEx>
          <w:tblCellMar>
            <w:top w:w="0" w:type="dxa"/>
            <w:left w:w="108" w:type="dxa"/>
            <w:bottom w:w="0" w:type="dxa"/>
            <w:right w:w="108" w:type="dxa"/>
          </w:tblCellMar>
        </w:tblPrEx>
        <w:trPr>
          <w:trHeight w:val="624" w:hRule="atLeast"/>
        </w:trPr>
        <w:tc>
          <w:tcPr>
            <w:tcW w:w="880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二、资金支出</w:t>
            </w:r>
          </w:p>
        </w:tc>
      </w:tr>
      <w:tr>
        <w:tblPrEx>
          <w:tblCellMar>
            <w:top w:w="0" w:type="dxa"/>
            <w:left w:w="108" w:type="dxa"/>
            <w:bottom w:w="0" w:type="dxa"/>
            <w:right w:w="108" w:type="dxa"/>
          </w:tblCellMar>
        </w:tblPrEx>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（一）直接费用</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r>
      <w:tr>
        <w:tblPrEx>
          <w:tblCellMar>
            <w:top w:w="0" w:type="dxa"/>
            <w:left w:w="108" w:type="dxa"/>
            <w:bottom w:w="0" w:type="dxa"/>
            <w:right w:w="108" w:type="dxa"/>
          </w:tblCellMar>
        </w:tblPrEx>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1.设备费</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eastAsia="仿宋_GB2312" w:cs="Times New Roman"/>
                <w:color w:val="auto"/>
                <w:kern w:val="0"/>
                <w:sz w:val="24"/>
                <w:szCs w:val="24"/>
                <w:highlight w:val="none"/>
              </w:rPr>
            </w:pPr>
          </w:p>
        </w:tc>
      </w:tr>
      <w:tr>
        <w:tblPrEx>
          <w:tblCellMar>
            <w:top w:w="0" w:type="dxa"/>
            <w:left w:w="108" w:type="dxa"/>
            <w:bottom w:w="0" w:type="dxa"/>
            <w:right w:w="108" w:type="dxa"/>
          </w:tblCellMar>
        </w:tblPrEx>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2.业务费</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r>
      <w:tr>
        <w:tblPrEx>
          <w:tblCellMar>
            <w:top w:w="0" w:type="dxa"/>
            <w:left w:w="108" w:type="dxa"/>
            <w:bottom w:w="0" w:type="dxa"/>
            <w:right w:w="108" w:type="dxa"/>
          </w:tblCellMar>
        </w:tblPrEx>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3.劳务费</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r>
      <w:tr>
        <w:tblPrEx>
          <w:tblCellMar>
            <w:top w:w="0" w:type="dxa"/>
            <w:left w:w="108" w:type="dxa"/>
            <w:bottom w:w="0" w:type="dxa"/>
            <w:right w:w="108" w:type="dxa"/>
          </w:tblCellMar>
        </w:tblPrEx>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（二）间接费用</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r>
      <w:tr>
        <w:tblPrEx>
          <w:tblCellMar>
            <w:top w:w="0" w:type="dxa"/>
            <w:left w:w="108" w:type="dxa"/>
            <w:bottom w:w="0" w:type="dxa"/>
            <w:right w:w="108" w:type="dxa"/>
          </w:tblCellMar>
        </w:tblPrEx>
        <w:trPr>
          <w:trHeight w:val="624" w:hRule="atLeast"/>
        </w:trPr>
        <w:tc>
          <w:tcPr>
            <w:tcW w:w="880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jc w:val="left"/>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黑体" w:cs="Times New Roman"/>
                <w:bCs/>
                <w:color w:val="auto"/>
                <w:kern w:val="0"/>
                <w:sz w:val="24"/>
                <w:szCs w:val="24"/>
                <w:highlight w:val="none"/>
              </w:rPr>
              <w:t>三、分年度用款计划</w:t>
            </w:r>
          </w:p>
        </w:tc>
      </w:tr>
      <w:tr>
        <w:tblPrEx>
          <w:tblCellMar>
            <w:top w:w="0" w:type="dxa"/>
            <w:left w:w="108" w:type="dxa"/>
            <w:bottom w:w="0" w:type="dxa"/>
            <w:right w:w="108" w:type="dxa"/>
          </w:tblCellMar>
        </w:tblPrEx>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jc w:val="center"/>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年度</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jc w:val="center"/>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第一年</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jc w:val="center"/>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第二年</w:t>
            </w:r>
          </w:p>
        </w:tc>
        <w:tc>
          <w:tcPr>
            <w:tcW w:w="17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jc w:val="center"/>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第三年</w:t>
            </w: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jc w:val="center"/>
              <w:rPr>
                <w:rFonts w:hint="default" w:ascii="Times New Roman" w:hAnsi="Times New Roman" w:eastAsia="黑体" w:cs="Times New Roman"/>
                <w:bCs/>
                <w:color w:val="auto"/>
                <w:kern w:val="0"/>
                <w:sz w:val="24"/>
                <w:szCs w:val="24"/>
                <w:highlight w:val="none"/>
                <w:lang w:eastAsia="zh-CN"/>
              </w:rPr>
            </w:pPr>
            <w:r>
              <w:rPr>
                <w:rFonts w:hint="default" w:ascii="Times New Roman" w:hAnsi="Times New Roman" w:eastAsia="黑体" w:cs="Times New Roman"/>
                <w:bCs/>
                <w:color w:val="auto"/>
                <w:kern w:val="0"/>
                <w:sz w:val="24"/>
                <w:szCs w:val="24"/>
                <w:highlight w:val="none"/>
                <w:lang w:eastAsia="zh-CN"/>
              </w:rPr>
              <w:t>合计</w:t>
            </w:r>
          </w:p>
        </w:tc>
      </w:tr>
      <w:tr>
        <w:tblPrEx>
          <w:tblCellMar>
            <w:top w:w="0" w:type="dxa"/>
            <w:left w:w="108" w:type="dxa"/>
            <w:bottom w:w="0" w:type="dxa"/>
            <w:right w:w="108" w:type="dxa"/>
          </w:tblCellMar>
        </w:tblPrEx>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0"/>
              <w:jc w:val="both"/>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用款总额</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7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r>
      <w:tr>
        <w:tblPrEx>
          <w:tblCellMar>
            <w:top w:w="0" w:type="dxa"/>
            <w:left w:w="108" w:type="dxa"/>
            <w:bottom w:w="0" w:type="dxa"/>
            <w:right w:w="108" w:type="dxa"/>
          </w:tblCellMar>
        </w:tblPrEx>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0"/>
              <w:jc w:val="both"/>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财政资金</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7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r>
      <w:tr>
        <w:tblPrEx>
          <w:tblCellMar>
            <w:top w:w="0" w:type="dxa"/>
            <w:left w:w="108" w:type="dxa"/>
            <w:bottom w:w="0" w:type="dxa"/>
            <w:right w:w="108" w:type="dxa"/>
          </w:tblCellMar>
        </w:tblPrEx>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0"/>
              <w:jc w:val="both"/>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自筹资金</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7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r>
    </w:tbl>
    <w:p>
      <w:pPr>
        <w:rPr>
          <w:rFonts w:hint="default" w:ascii="Times New Roman" w:hAnsi="Times New Roman" w:cs="Times New Roman"/>
          <w:lang w:eastAsia="zh-CN"/>
        </w:rPr>
        <w:sectPr>
          <w:headerReference r:id="rId3" w:type="default"/>
          <w:footerReference r:id="rId5" w:type="default"/>
          <w:headerReference r:id="rId4" w:type="even"/>
          <w:footerReference r:id="rId6" w:type="even"/>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lang w:eastAsia="zh-CN"/>
        </w:rPr>
        <w:br w:type="page"/>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Times New Roman" w:hAnsi="Times New Roman" w:eastAsia="黑体" w:cs="Times New Roman"/>
          <w:b w:val="0"/>
          <w:bCs/>
          <w:color w:val="auto"/>
          <w:kern w:val="0"/>
          <w:sz w:val="30"/>
          <w:szCs w:val="30"/>
          <w:highlight w:val="none"/>
          <w:lang w:val="en-US" w:eastAsia="zh-CN"/>
        </w:rPr>
      </w:pPr>
      <w:r>
        <w:rPr>
          <w:rFonts w:hint="default" w:ascii="Times New Roman" w:hAnsi="Times New Roman" w:eastAsia="黑体" w:cs="Times New Roman"/>
          <w:b w:val="0"/>
          <w:bCs/>
          <w:color w:val="auto"/>
          <w:kern w:val="0"/>
          <w:sz w:val="30"/>
          <w:szCs w:val="30"/>
          <w:highlight w:val="none"/>
          <w:lang w:eastAsia="zh-CN"/>
        </w:rPr>
        <w:t>附表</w:t>
      </w:r>
      <w:r>
        <w:rPr>
          <w:rFonts w:hint="eastAsia" w:ascii="Times New Roman" w:hAnsi="Times New Roman" w:eastAsia="黑体" w:cs="Times New Roman"/>
          <w:b w:val="0"/>
          <w:bCs/>
          <w:color w:val="auto"/>
          <w:kern w:val="0"/>
          <w:sz w:val="30"/>
          <w:szCs w:val="30"/>
          <w:highlight w:val="none"/>
          <w:lang w:val="en-US" w:eastAsia="zh-CN"/>
        </w:rPr>
        <w:t>4</w:t>
      </w:r>
      <w:r>
        <w:rPr>
          <w:rFonts w:hint="default" w:ascii="Times New Roman" w:hAnsi="Times New Roman" w:eastAsia="黑体" w:cs="Times New Roman"/>
          <w:b w:val="0"/>
          <w:bCs/>
          <w:color w:val="auto"/>
          <w:kern w:val="0"/>
          <w:sz w:val="30"/>
          <w:szCs w:val="30"/>
          <w:highlight w:val="none"/>
          <w:lang w:val="en-US" w:eastAsia="zh-CN"/>
        </w:rPr>
        <w:t>-2</w:t>
      </w:r>
    </w:p>
    <w:p>
      <w:pPr>
        <w:pStyle w:val="2"/>
        <w:keepNext w:val="0"/>
        <w:keepLines w:val="0"/>
        <w:pageBreakBefore w:val="0"/>
        <w:widowControl w:val="0"/>
        <w:kinsoku/>
        <w:wordWrap/>
        <w:overflowPunct/>
        <w:topLinePunct w:val="0"/>
        <w:autoSpaceDE/>
        <w:autoSpaceDN/>
        <w:bidi w:val="0"/>
        <w:adjustRightInd w:val="0"/>
        <w:snapToGrid w:val="0"/>
        <w:spacing w:before="289" w:beforeLines="50" w:line="460" w:lineRule="exact"/>
        <w:ind w:left="0" w:leftChars="0" w:firstLine="0" w:firstLineChars="0"/>
        <w:jc w:val="center"/>
        <w:textAlignment w:val="auto"/>
        <w:rPr>
          <w:rFonts w:hint="default" w:ascii="Times New Roman" w:hAnsi="Times New Roman" w:eastAsia="方正小标宋简体" w:cs="Times New Roman"/>
          <w:bCs/>
          <w:color w:val="auto"/>
          <w:kern w:val="0"/>
          <w:sz w:val="36"/>
          <w:szCs w:val="36"/>
          <w:highlight w:val="none"/>
        </w:rPr>
      </w:pPr>
      <w:r>
        <w:rPr>
          <w:rFonts w:hint="default" w:ascii="Times New Roman" w:hAnsi="Times New Roman" w:eastAsia="方正小标宋简体" w:cs="Times New Roman"/>
          <w:bCs/>
          <w:color w:val="auto"/>
          <w:kern w:val="0"/>
          <w:sz w:val="36"/>
          <w:szCs w:val="36"/>
          <w:highlight w:val="none"/>
        </w:rPr>
        <w:t>设备费—购置设备预算明细表</w:t>
      </w:r>
    </w:p>
    <w:p>
      <w:pPr>
        <w:pStyle w:val="3"/>
        <w:keepNext w:val="0"/>
        <w:keepLines w:val="0"/>
        <w:pageBreakBefore w:val="0"/>
        <w:widowControl w:val="0"/>
        <w:kinsoku/>
        <w:wordWrap/>
        <w:overflowPunct/>
        <w:topLinePunct w:val="0"/>
        <w:autoSpaceDE/>
        <w:autoSpaceDN/>
        <w:bidi w:val="0"/>
        <w:adjustRightInd w:val="0"/>
        <w:snapToGrid w:val="0"/>
        <w:spacing w:line="460" w:lineRule="exact"/>
        <w:jc w:val="right"/>
        <w:textAlignment w:val="auto"/>
        <w:rPr>
          <w:rFonts w:hint="default" w:ascii="Times New Roman" w:hAnsi="Times New Roman" w:cs="Times New Roman"/>
          <w:lang w:eastAsia="zh-CN"/>
        </w:rPr>
      </w:pPr>
      <w:r>
        <w:rPr>
          <w:rFonts w:hint="default" w:ascii="Times New Roman" w:hAnsi="Times New Roman" w:eastAsia="仿宋_GB2312" w:cs="Times New Roman"/>
          <w:color w:val="auto"/>
          <w:kern w:val="0"/>
          <w:sz w:val="30"/>
          <w:szCs w:val="30"/>
          <w:highlight w:val="none"/>
        </w:rPr>
        <w:t>单位：万元（保留两位小数）</w:t>
      </w:r>
    </w:p>
    <w:tbl>
      <w:tblPr>
        <w:tblStyle w:val="8"/>
        <w:tblW w:w="4998" w:type="pct"/>
        <w:tblInd w:w="0" w:type="dxa"/>
        <w:tblLayout w:type="autofit"/>
        <w:tblCellMar>
          <w:top w:w="0" w:type="dxa"/>
          <w:left w:w="108" w:type="dxa"/>
          <w:bottom w:w="0" w:type="dxa"/>
          <w:right w:w="108" w:type="dxa"/>
        </w:tblCellMar>
      </w:tblPr>
      <w:tblGrid>
        <w:gridCol w:w="641"/>
        <w:gridCol w:w="859"/>
        <w:gridCol w:w="1001"/>
        <w:gridCol w:w="950"/>
        <w:gridCol w:w="979"/>
        <w:gridCol w:w="993"/>
        <w:gridCol w:w="950"/>
        <w:gridCol w:w="1032"/>
        <w:gridCol w:w="1118"/>
        <w:gridCol w:w="1452"/>
        <w:gridCol w:w="1396"/>
        <w:gridCol w:w="1231"/>
        <w:gridCol w:w="1566"/>
      </w:tblGrid>
      <w:tr>
        <w:tblPrEx>
          <w:tblCellMar>
            <w:top w:w="0" w:type="dxa"/>
            <w:left w:w="108" w:type="dxa"/>
            <w:bottom w:w="0" w:type="dxa"/>
            <w:right w:w="108" w:type="dxa"/>
          </w:tblCellMar>
        </w:tblPrEx>
        <w:trPr>
          <w:trHeight w:val="692" w:hRule="atLeast"/>
        </w:trPr>
        <w:tc>
          <w:tcPr>
            <w:tcW w:w="2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序号</w:t>
            </w:r>
          </w:p>
        </w:tc>
        <w:tc>
          <w:tcPr>
            <w:tcW w:w="3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设备名称</w:t>
            </w:r>
          </w:p>
        </w:tc>
        <w:tc>
          <w:tcPr>
            <w:tcW w:w="3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功能和技术指标</w:t>
            </w: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单价（万元/台套）</w:t>
            </w:r>
          </w:p>
        </w:tc>
        <w:tc>
          <w:tcPr>
            <w:tcW w:w="3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数量（台套）</w:t>
            </w: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lang w:eastAsia="zh-CN"/>
              </w:rPr>
            </w:pPr>
            <w:r>
              <w:rPr>
                <w:rFonts w:hint="default" w:ascii="Times New Roman" w:hAnsi="Times New Roman" w:eastAsia="黑体" w:cs="Times New Roman"/>
                <w:bCs/>
                <w:color w:val="auto"/>
                <w:kern w:val="0"/>
                <w:sz w:val="24"/>
                <w:szCs w:val="24"/>
                <w:highlight w:val="none"/>
                <w:lang w:eastAsia="zh-CN"/>
              </w:rPr>
              <w:t>金额（万元）</w:t>
            </w: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购置</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单位</w:t>
            </w:r>
          </w:p>
        </w:tc>
        <w:tc>
          <w:tcPr>
            <w:tcW w:w="36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存放单位（地点）</w:t>
            </w:r>
          </w:p>
        </w:tc>
        <w:tc>
          <w:tcPr>
            <w:tcW w:w="39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设备</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类型</w:t>
            </w:r>
          </w:p>
        </w:tc>
        <w:tc>
          <w:tcPr>
            <w:tcW w:w="512"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主要生产厂家及国别</w:t>
            </w:r>
          </w:p>
        </w:tc>
        <w:tc>
          <w:tcPr>
            <w:tcW w:w="492"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规格</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型号</w:t>
            </w:r>
          </w:p>
        </w:tc>
        <w:tc>
          <w:tcPr>
            <w:tcW w:w="43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拟开放共享范围</w:t>
            </w:r>
          </w:p>
        </w:tc>
        <w:tc>
          <w:tcPr>
            <w:tcW w:w="552"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购置必要性及对项目研究的作用和用途</w:t>
            </w:r>
          </w:p>
        </w:tc>
      </w:tr>
      <w:tr>
        <w:tblPrEx>
          <w:tblCellMar>
            <w:top w:w="0" w:type="dxa"/>
            <w:left w:w="108" w:type="dxa"/>
            <w:bottom w:w="0" w:type="dxa"/>
            <w:right w:w="108" w:type="dxa"/>
          </w:tblCellMar>
        </w:tblPrEx>
        <w:trPr>
          <w:trHeight w:val="537" w:hRule="atLeast"/>
        </w:trPr>
        <w:tc>
          <w:tcPr>
            <w:tcW w:w="22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4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64" w:type="pct"/>
            <w:tcBorders>
              <w:top w:val="single" w:color="auto" w:sz="4" w:space="0"/>
              <w:left w:val="nil"/>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94" w:type="pct"/>
            <w:tcBorders>
              <w:top w:val="single" w:color="auto" w:sz="4" w:space="0"/>
              <w:left w:val="nil"/>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512" w:type="pct"/>
            <w:tcBorders>
              <w:top w:val="single" w:color="auto" w:sz="4" w:space="0"/>
              <w:left w:val="nil"/>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492" w:type="pct"/>
            <w:tcBorders>
              <w:top w:val="single" w:color="auto" w:sz="4" w:space="0"/>
              <w:left w:val="nil"/>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434" w:type="pct"/>
            <w:tcBorders>
              <w:top w:val="single" w:color="auto" w:sz="4" w:space="0"/>
              <w:left w:val="nil"/>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552" w:type="pct"/>
            <w:tcBorders>
              <w:top w:val="single" w:color="auto" w:sz="4" w:space="0"/>
              <w:left w:val="nil"/>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88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单价</w:t>
            </w:r>
            <w:r>
              <w:rPr>
                <w:rFonts w:hint="default" w:ascii="Times New Roman" w:hAnsi="Times New Roman" w:eastAsia="仿宋_GB2312" w:cs="Times New Roman"/>
                <w:bCs/>
                <w:color w:val="auto"/>
                <w:kern w:val="0"/>
                <w:sz w:val="24"/>
                <w:szCs w:val="24"/>
                <w:highlight w:val="none"/>
                <w:lang w:val="en-US" w:eastAsia="zh-CN"/>
              </w:rPr>
              <w:t>50</w:t>
            </w:r>
            <w:r>
              <w:rPr>
                <w:rFonts w:hint="default" w:ascii="Times New Roman" w:hAnsi="Times New Roman" w:eastAsia="仿宋_GB2312" w:cs="Times New Roman"/>
                <w:bCs/>
                <w:color w:val="auto"/>
                <w:kern w:val="0"/>
                <w:sz w:val="24"/>
                <w:szCs w:val="24"/>
                <w:highlight w:val="none"/>
              </w:rPr>
              <w:t>万元</w:t>
            </w:r>
            <w:r>
              <w:rPr>
                <w:rFonts w:hint="default" w:ascii="Times New Roman" w:hAnsi="Times New Roman" w:eastAsia="仿宋_GB2312" w:cs="Times New Roman"/>
                <w:bCs/>
                <w:color w:val="auto"/>
                <w:kern w:val="0"/>
                <w:sz w:val="24"/>
                <w:szCs w:val="24"/>
                <w:highlight w:val="none"/>
                <w:lang w:val="en-US" w:eastAsia="zh-CN"/>
              </w:rPr>
              <w:t>及</w:t>
            </w:r>
            <w:r>
              <w:rPr>
                <w:rFonts w:hint="default" w:ascii="Times New Roman" w:hAnsi="Times New Roman" w:eastAsia="仿宋_GB2312" w:cs="Times New Roman"/>
                <w:bCs/>
                <w:color w:val="auto"/>
                <w:kern w:val="0"/>
                <w:sz w:val="24"/>
                <w:szCs w:val="24"/>
                <w:highlight w:val="none"/>
              </w:rPr>
              <w:t>以</w:t>
            </w:r>
            <w:r>
              <w:rPr>
                <w:rFonts w:hint="default" w:ascii="Times New Roman" w:hAnsi="Times New Roman" w:eastAsia="仿宋_GB2312" w:cs="Times New Roman"/>
                <w:bCs/>
                <w:color w:val="auto"/>
                <w:kern w:val="0"/>
                <w:sz w:val="24"/>
                <w:szCs w:val="24"/>
                <w:highlight w:val="none"/>
                <w:lang w:val="en-US" w:eastAsia="zh-CN"/>
              </w:rPr>
              <w:t>上</w:t>
            </w:r>
            <w:r>
              <w:rPr>
                <w:rFonts w:hint="default" w:ascii="Times New Roman" w:hAnsi="Times New Roman" w:eastAsia="仿宋_GB2312" w:cs="Times New Roman"/>
                <w:bCs/>
                <w:color w:val="auto"/>
                <w:kern w:val="0"/>
                <w:sz w:val="24"/>
                <w:szCs w:val="24"/>
                <w:highlight w:val="none"/>
              </w:rPr>
              <w:t>购置设备合计</w:t>
            </w: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345" w:type="pct"/>
            <w:tcBorders>
              <w:top w:val="single" w:color="auto" w:sz="4" w:space="0"/>
              <w:left w:val="single" w:color="auto" w:sz="4" w:space="0"/>
              <w:bottom w:val="single" w:color="auto" w:sz="4" w:space="0"/>
              <w:right w:val="single" w:color="auto" w:sz="4" w:space="0"/>
            </w:tcBorders>
            <w:vAlign w:val="top"/>
          </w:tcPr>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bCs/>
                <w:color w:val="auto"/>
                <w:kern w:val="0"/>
                <w:sz w:val="24"/>
                <w:szCs w:val="24"/>
                <w:highlight w:val="none"/>
              </w:rPr>
            </w:pPr>
          </w:p>
        </w:tc>
        <w:tc>
          <w:tcPr>
            <w:tcW w:w="350" w:type="pct"/>
            <w:tcBorders>
              <w:top w:val="single" w:color="auto" w:sz="4" w:space="0"/>
              <w:left w:val="single" w:color="auto" w:sz="4" w:space="0"/>
              <w:bottom w:val="single" w:color="auto" w:sz="4" w:space="0"/>
              <w:right w:val="single" w:color="auto" w:sz="4" w:space="0"/>
            </w:tcBorders>
            <w:vAlign w:val="top"/>
          </w:tcPr>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bCs/>
                <w:color w:val="auto"/>
                <w:kern w:val="0"/>
                <w:sz w:val="24"/>
                <w:szCs w:val="24"/>
                <w:highlight w:val="none"/>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36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3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51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4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5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r>
      <w:tr>
        <w:tblPrEx>
          <w:tblCellMar>
            <w:top w:w="0" w:type="dxa"/>
            <w:left w:w="108" w:type="dxa"/>
            <w:bottom w:w="0" w:type="dxa"/>
            <w:right w:w="108" w:type="dxa"/>
          </w:tblCellMar>
        </w:tblPrEx>
        <w:trPr>
          <w:trHeight w:val="684" w:hRule="atLeast"/>
        </w:trPr>
        <w:tc>
          <w:tcPr>
            <w:tcW w:w="88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rPr>
              <w:t>单价</w:t>
            </w:r>
            <w:r>
              <w:rPr>
                <w:rFonts w:hint="default" w:ascii="Times New Roman" w:hAnsi="Times New Roman" w:eastAsia="仿宋_GB2312" w:cs="Times New Roman"/>
                <w:bCs/>
                <w:color w:val="auto"/>
                <w:kern w:val="0"/>
                <w:sz w:val="24"/>
                <w:szCs w:val="24"/>
                <w:highlight w:val="none"/>
                <w:lang w:val="en-US" w:eastAsia="zh-CN"/>
              </w:rPr>
              <w:t>50</w:t>
            </w:r>
            <w:r>
              <w:rPr>
                <w:rFonts w:hint="default" w:ascii="Times New Roman" w:hAnsi="Times New Roman" w:eastAsia="仿宋_GB2312" w:cs="Times New Roman"/>
                <w:bCs/>
                <w:color w:val="auto"/>
                <w:kern w:val="0"/>
                <w:sz w:val="24"/>
                <w:szCs w:val="24"/>
                <w:highlight w:val="none"/>
              </w:rPr>
              <w:t>万元以下购置设备合计</w:t>
            </w: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c>
          <w:tcPr>
            <w:tcW w:w="345" w:type="pct"/>
            <w:tcBorders>
              <w:top w:val="single" w:color="auto" w:sz="4" w:space="0"/>
              <w:left w:val="single" w:color="auto" w:sz="4" w:space="0"/>
              <w:bottom w:val="single" w:color="auto" w:sz="4" w:space="0"/>
              <w:right w:val="single" w:color="auto" w:sz="4" w:space="0"/>
            </w:tcBorders>
            <w:vAlign w:val="top"/>
          </w:tcPr>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bCs/>
                <w:color w:val="auto"/>
                <w:kern w:val="0"/>
                <w:sz w:val="24"/>
                <w:szCs w:val="24"/>
                <w:highlight w:val="none"/>
                <w:lang w:val="en-US" w:eastAsia="zh-CN" w:bidi="ar-SA"/>
              </w:rPr>
            </w:pPr>
          </w:p>
        </w:tc>
        <w:tc>
          <w:tcPr>
            <w:tcW w:w="350" w:type="pct"/>
            <w:tcBorders>
              <w:top w:val="single" w:color="auto" w:sz="4" w:space="0"/>
              <w:left w:val="single" w:color="auto" w:sz="4" w:space="0"/>
              <w:bottom w:val="single" w:color="auto" w:sz="4" w:space="0"/>
              <w:right w:val="single" w:color="auto" w:sz="4" w:space="0"/>
            </w:tcBorders>
            <w:vAlign w:val="top"/>
          </w:tcPr>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bCs/>
                <w:color w:val="auto"/>
                <w:kern w:val="0"/>
                <w:sz w:val="24"/>
                <w:szCs w:val="24"/>
                <w:highlight w:val="none"/>
                <w:lang w:val="en-US" w:eastAsia="zh-CN" w:bidi="ar-SA"/>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c>
          <w:tcPr>
            <w:tcW w:w="36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c>
          <w:tcPr>
            <w:tcW w:w="3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c>
          <w:tcPr>
            <w:tcW w:w="51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c>
          <w:tcPr>
            <w:tcW w:w="4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c>
          <w:tcPr>
            <w:tcW w:w="5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r>
      <w:tr>
        <w:tblPrEx>
          <w:tblCellMar>
            <w:top w:w="0" w:type="dxa"/>
            <w:left w:w="108" w:type="dxa"/>
            <w:bottom w:w="0" w:type="dxa"/>
            <w:right w:w="108" w:type="dxa"/>
          </w:tblCellMar>
        </w:tblPrEx>
        <w:trPr>
          <w:trHeight w:val="567" w:hRule="atLeast"/>
        </w:trPr>
        <w:tc>
          <w:tcPr>
            <w:tcW w:w="88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xml:space="preserve">累 </w:t>
            </w:r>
            <w:r>
              <w:rPr>
                <w:rFonts w:hint="default" w:ascii="Times New Roman" w:hAnsi="Times New Roman" w:cs="Times New Roman"/>
                <w:bCs/>
                <w:color w:val="auto"/>
                <w:kern w:val="0"/>
                <w:sz w:val="24"/>
                <w:szCs w:val="24"/>
                <w:highlight w:val="none"/>
              </w:rPr>
              <w:t xml:space="preserve"> </w:t>
            </w:r>
            <w:r>
              <w:rPr>
                <w:rFonts w:hint="default" w:ascii="Times New Roman" w:hAnsi="Times New Roman" w:eastAsia="仿宋_GB2312" w:cs="Times New Roman"/>
                <w:bCs/>
                <w:color w:val="auto"/>
                <w:kern w:val="0"/>
                <w:sz w:val="24"/>
                <w:szCs w:val="24"/>
                <w:highlight w:val="none"/>
              </w:rPr>
              <w:t>计</w:t>
            </w: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345" w:type="pct"/>
            <w:tcBorders>
              <w:top w:val="single" w:color="auto" w:sz="4" w:space="0"/>
              <w:left w:val="single" w:color="auto" w:sz="4" w:space="0"/>
              <w:bottom w:val="single" w:color="auto" w:sz="4" w:space="0"/>
              <w:right w:val="single" w:color="auto" w:sz="4" w:space="0"/>
            </w:tcBorders>
            <w:vAlign w:val="top"/>
          </w:tcPr>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bCs/>
                <w:color w:val="auto"/>
                <w:kern w:val="0"/>
                <w:sz w:val="24"/>
                <w:szCs w:val="24"/>
                <w:highlight w:val="none"/>
              </w:rPr>
            </w:pPr>
          </w:p>
        </w:tc>
        <w:tc>
          <w:tcPr>
            <w:tcW w:w="350" w:type="pct"/>
            <w:tcBorders>
              <w:top w:val="single" w:color="auto" w:sz="4" w:space="0"/>
              <w:left w:val="single" w:color="auto" w:sz="4" w:space="0"/>
              <w:bottom w:val="single" w:color="auto" w:sz="4" w:space="0"/>
              <w:right w:val="single" w:color="auto" w:sz="4" w:space="0"/>
            </w:tcBorders>
            <w:vAlign w:val="top"/>
          </w:tcPr>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bCs/>
                <w:color w:val="auto"/>
                <w:kern w:val="0"/>
                <w:sz w:val="24"/>
                <w:szCs w:val="24"/>
                <w:highlight w:val="none"/>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36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3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51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4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5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注：1.本表只填写财政资金购置的设备；</w:t>
      </w:r>
    </w:p>
    <w:p>
      <w:pPr>
        <w:pStyle w:val="3"/>
        <w:keepNext w:val="0"/>
        <w:keepLines w:val="0"/>
        <w:pageBreakBefore w:val="0"/>
        <w:widowControl w:val="0"/>
        <w:kinsoku/>
        <w:wordWrap/>
        <w:overflowPunct/>
        <w:topLinePunct w:val="0"/>
        <w:autoSpaceDE/>
        <w:autoSpaceDN/>
        <w:bidi w:val="0"/>
        <w:adjustRightInd w:val="0"/>
        <w:snapToGrid w:val="0"/>
        <w:spacing w:line="360" w:lineRule="exact"/>
        <w:ind w:firstLine="960" w:firstLineChars="4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2.单价</w:t>
      </w:r>
      <w:r>
        <w:rPr>
          <w:rFonts w:hint="default" w:ascii="Times New Roman" w:hAnsi="Times New Roman" w:eastAsia="仿宋_GB2312" w:cs="Times New Roman"/>
          <w:color w:val="auto"/>
          <w:sz w:val="24"/>
          <w:szCs w:val="24"/>
          <w:highlight w:val="none"/>
          <w:lang w:val="en-US" w:eastAsia="zh-CN"/>
        </w:rPr>
        <w:t>50</w:t>
      </w:r>
      <w:r>
        <w:rPr>
          <w:rFonts w:hint="default" w:ascii="Times New Roman" w:hAnsi="Times New Roman" w:eastAsia="仿宋_GB2312" w:cs="Times New Roman"/>
          <w:color w:val="auto"/>
          <w:sz w:val="24"/>
          <w:szCs w:val="24"/>
          <w:highlight w:val="none"/>
        </w:rPr>
        <w:t>万元以下的设备不填写明细。</w:t>
      </w:r>
    </w:p>
    <w:p>
      <w:pP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Times New Roman" w:hAnsi="Times New Roman" w:eastAsia="黑体" w:cs="Times New Roman"/>
          <w:b w:val="0"/>
          <w:bCs/>
          <w:color w:val="auto"/>
          <w:kern w:val="0"/>
          <w:sz w:val="30"/>
          <w:szCs w:val="30"/>
          <w:highlight w:val="none"/>
          <w:lang w:val="en-US" w:eastAsia="zh-CN"/>
        </w:rPr>
      </w:pPr>
      <w:r>
        <w:rPr>
          <w:rFonts w:hint="default" w:ascii="Times New Roman" w:hAnsi="Times New Roman" w:eastAsia="黑体" w:cs="Times New Roman"/>
          <w:b w:val="0"/>
          <w:bCs/>
          <w:color w:val="auto"/>
          <w:kern w:val="0"/>
          <w:sz w:val="30"/>
          <w:szCs w:val="30"/>
          <w:highlight w:val="none"/>
          <w:lang w:eastAsia="zh-CN"/>
        </w:rPr>
        <w:t>附表</w:t>
      </w:r>
      <w:r>
        <w:rPr>
          <w:rFonts w:hint="eastAsia" w:ascii="Times New Roman" w:hAnsi="Times New Roman" w:eastAsia="黑体" w:cs="Times New Roman"/>
          <w:b w:val="0"/>
          <w:bCs/>
          <w:color w:val="auto"/>
          <w:kern w:val="0"/>
          <w:sz w:val="30"/>
          <w:szCs w:val="30"/>
          <w:highlight w:val="none"/>
          <w:lang w:val="en-US" w:eastAsia="zh-CN"/>
        </w:rPr>
        <w:t>4</w:t>
      </w:r>
      <w:r>
        <w:rPr>
          <w:rFonts w:hint="default" w:ascii="Times New Roman" w:hAnsi="Times New Roman" w:eastAsia="黑体" w:cs="Times New Roman"/>
          <w:b w:val="0"/>
          <w:bCs/>
          <w:color w:val="auto"/>
          <w:kern w:val="0"/>
          <w:sz w:val="30"/>
          <w:szCs w:val="30"/>
          <w:highlight w:val="none"/>
          <w:lang w:val="en-US" w:eastAsia="zh-CN"/>
        </w:rPr>
        <w:t>-3</w:t>
      </w:r>
    </w:p>
    <w:p>
      <w:pPr>
        <w:pStyle w:val="2"/>
        <w:keepNext w:val="0"/>
        <w:keepLines w:val="0"/>
        <w:pageBreakBefore w:val="0"/>
        <w:widowControl w:val="0"/>
        <w:kinsoku/>
        <w:wordWrap/>
        <w:overflowPunct/>
        <w:topLinePunct w:val="0"/>
        <w:autoSpaceDE/>
        <w:autoSpaceDN/>
        <w:bidi w:val="0"/>
        <w:adjustRightInd w:val="0"/>
        <w:snapToGrid w:val="0"/>
        <w:spacing w:before="289" w:beforeLines="50" w:line="460" w:lineRule="exact"/>
        <w:ind w:left="0" w:leftChars="0" w:firstLine="0" w:firstLineChars="0"/>
        <w:jc w:val="center"/>
        <w:textAlignment w:val="auto"/>
        <w:rPr>
          <w:rFonts w:hint="default" w:ascii="Times New Roman" w:hAnsi="Times New Roman" w:eastAsia="方正小标宋简体" w:cs="Times New Roman"/>
          <w:bCs/>
          <w:color w:val="auto"/>
          <w:kern w:val="0"/>
          <w:sz w:val="36"/>
          <w:szCs w:val="36"/>
          <w:highlight w:val="none"/>
        </w:rPr>
      </w:pPr>
      <w:r>
        <w:rPr>
          <w:rFonts w:hint="default" w:ascii="Times New Roman" w:hAnsi="Times New Roman" w:eastAsia="方正小标宋简体" w:cs="Times New Roman"/>
          <w:bCs/>
          <w:color w:val="auto"/>
          <w:kern w:val="0"/>
          <w:sz w:val="36"/>
          <w:szCs w:val="36"/>
          <w:highlight w:val="none"/>
        </w:rPr>
        <w:t>项目资金支出预算明细表</w:t>
      </w:r>
    </w:p>
    <w:p>
      <w:pPr>
        <w:pStyle w:val="3"/>
        <w:keepNext w:val="0"/>
        <w:keepLines w:val="0"/>
        <w:pageBreakBefore w:val="0"/>
        <w:widowControl w:val="0"/>
        <w:kinsoku/>
        <w:wordWrap/>
        <w:overflowPunct/>
        <w:topLinePunct w:val="0"/>
        <w:autoSpaceDE/>
        <w:autoSpaceDN/>
        <w:bidi w:val="0"/>
        <w:adjustRightInd w:val="0"/>
        <w:snapToGrid w:val="0"/>
        <w:spacing w:line="460" w:lineRule="exact"/>
        <w:jc w:val="righ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金额单位：万元</w:t>
      </w:r>
    </w:p>
    <w:tbl>
      <w:tblPr>
        <w:tblStyle w:val="8"/>
        <w:tblW w:w="125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0"/>
        <w:gridCol w:w="2290"/>
        <w:gridCol w:w="1338"/>
        <w:gridCol w:w="925"/>
        <w:gridCol w:w="1387"/>
        <w:gridCol w:w="1219"/>
        <w:gridCol w:w="956"/>
        <w:gridCol w:w="1063"/>
        <w:gridCol w:w="1211"/>
        <w:gridCol w:w="14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50"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序号</w:t>
            </w:r>
          </w:p>
        </w:tc>
        <w:tc>
          <w:tcPr>
            <w:tcW w:w="2290"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单位名称</w:t>
            </w:r>
          </w:p>
        </w:tc>
        <w:tc>
          <w:tcPr>
            <w:tcW w:w="1338" w:type="dxa"/>
            <w:vMerge w:val="restart"/>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统一社会信用代码</w:t>
            </w:r>
          </w:p>
        </w:tc>
        <w:tc>
          <w:tcPr>
            <w:tcW w:w="92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单位</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类型</w:t>
            </w:r>
          </w:p>
        </w:tc>
        <w:tc>
          <w:tcPr>
            <w:tcW w:w="1387"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任务分工</w:t>
            </w:r>
          </w:p>
        </w:tc>
        <w:tc>
          <w:tcPr>
            <w:tcW w:w="1219"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研究任务负责人</w:t>
            </w:r>
          </w:p>
        </w:tc>
        <w:tc>
          <w:tcPr>
            <w:tcW w:w="956"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合计</w:t>
            </w:r>
          </w:p>
        </w:tc>
        <w:tc>
          <w:tcPr>
            <w:tcW w:w="2274"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财政资金</w:t>
            </w:r>
          </w:p>
        </w:tc>
        <w:tc>
          <w:tcPr>
            <w:tcW w:w="1411" w:type="dxa"/>
            <w:vMerge w:val="restart"/>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lang w:val="en-US" w:eastAsia="zh-CN"/>
              </w:rPr>
              <w:t>自筹</w:t>
            </w:r>
            <w:r>
              <w:rPr>
                <w:rFonts w:hint="default" w:ascii="Times New Roman" w:hAnsi="Times New Roman" w:eastAsia="黑体" w:cs="Times New Roman"/>
                <w:bCs/>
                <w:color w:val="auto"/>
                <w:kern w:val="0"/>
                <w:sz w:val="24"/>
                <w:szCs w:val="24"/>
                <w:highlight w:val="none"/>
              </w:rPr>
              <w:t>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50" w:type="dxa"/>
            <w:vMerge w:val="continue"/>
            <w:vAlign w:val="center"/>
          </w:tcPr>
          <w:p>
            <w:pPr>
              <w:keepNext w:val="0"/>
              <w:keepLines w:val="0"/>
              <w:widowControl/>
              <w:kinsoku/>
              <w:wordWrap/>
              <w:overflowPunct/>
              <w:topLinePunct w:val="0"/>
              <w:bidi w:val="0"/>
              <w:spacing w:line="590" w:lineRule="exact"/>
              <w:jc w:val="center"/>
              <w:rPr>
                <w:rFonts w:hint="default" w:ascii="Times New Roman" w:hAnsi="Times New Roman" w:eastAsia="黑体" w:cs="Times New Roman"/>
                <w:bCs/>
                <w:color w:val="auto"/>
                <w:kern w:val="0"/>
                <w:sz w:val="24"/>
                <w:szCs w:val="24"/>
                <w:highlight w:val="none"/>
              </w:rPr>
            </w:pPr>
          </w:p>
        </w:tc>
        <w:tc>
          <w:tcPr>
            <w:tcW w:w="2290" w:type="dxa"/>
            <w:vMerge w:val="continue"/>
            <w:tcBorders>
              <w:right w:val="single" w:color="auto" w:sz="4" w:space="0"/>
            </w:tcBorders>
            <w:vAlign w:val="center"/>
          </w:tcPr>
          <w:p>
            <w:pPr>
              <w:keepNext w:val="0"/>
              <w:keepLines w:val="0"/>
              <w:widowControl/>
              <w:kinsoku/>
              <w:wordWrap/>
              <w:overflowPunct/>
              <w:topLinePunct w:val="0"/>
              <w:bidi w:val="0"/>
              <w:spacing w:line="590" w:lineRule="exact"/>
              <w:jc w:val="center"/>
              <w:rPr>
                <w:rFonts w:hint="default" w:ascii="Times New Roman" w:hAnsi="Times New Roman" w:eastAsia="黑体" w:cs="Times New Roman"/>
                <w:bCs/>
                <w:color w:val="auto"/>
                <w:kern w:val="0"/>
                <w:sz w:val="24"/>
                <w:szCs w:val="24"/>
                <w:highlight w:val="none"/>
              </w:rPr>
            </w:pPr>
          </w:p>
        </w:tc>
        <w:tc>
          <w:tcPr>
            <w:tcW w:w="1338" w:type="dxa"/>
            <w:vMerge w:val="continue"/>
            <w:tcBorders>
              <w:left w:val="single" w:color="auto" w:sz="4" w:space="0"/>
            </w:tcBorders>
            <w:vAlign w:val="center"/>
          </w:tcPr>
          <w:p>
            <w:pPr>
              <w:keepNext w:val="0"/>
              <w:keepLines w:val="0"/>
              <w:widowControl/>
              <w:kinsoku/>
              <w:wordWrap/>
              <w:overflowPunct/>
              <w:topLinePunct w:val="0"/>
              <w:bidi w:val="0"/>
              <w:spacing w:line="590" w:lineRule="exact"/>
              <w:jc w:val="center"/>
              <w:rPr>
                <w:rFonts w:hint="default" w:ascii="Times New Roman" w:hAnsi="Times New Roman" w:eastAsia="黑体" w:cs="Times New Roman"/>
                <w:bCs/>
                <w:color w:val="auto"/>
                <w:kern w:val="0"/>
                <w:sz w:val="24"/>
                <w:szCs w:val="24"/>
                <w:highlight w:val="none"/>
              </w:rPr>
            </w:pPr>
          </w:p>
        </w:tc>
        <w:tc>
          <w:tcPr>
            <w:tcW w:w="925" w:type="dxa"/>
            <w:vMerge w:val="continue"/>
            <w:vAlign w:val="center"/>
          </w:tcPr>
          <w:p>
            <w:pPr>
              <w:keepNext w:val="0"/>
              <w:keepLines w:val="0"/>
              <w:widowControl/>
              <w:kinsoku/>
              <w:wordWrap/>
              <w:overflowPunct/>
              <w:topLinePunct w:val="0"/>
              <w:bidi w:val="0"/>
              <w:spacing w:line="590" w:lineRule="exact"/>
              <w:jc w:val="center"/>
              <w:rPr>
                <w:rFonts w:hint="default" w:ascii="Times New Roman" w:hAnsi="Times New Roman" w:eastAsia="黑体" w:cs="Times New Roman"/>
                <w:bCs/>
                <w:color w:val="auto"/>
                <w:kern w:val="0"/>
                <w:sz w:val="24"/>
                <w:szCs w:val="24"/>
                <w:highlight w:val="none"/>
              </w:rPr>
            </w:pPr>
          </w:p>
        </w:tc>
        <w:tc>
          <w:tcPr>
            <w:tcW w:w="1387" w:type="dxa"/>
            <w:vMerge w:val="continue"/>
            <w:vAlign w:val="center"/>
          </w:tcPr>
          <w:p>
            <w:pPr>
              <w:keepNext w:val="0"/>
              <w:keepLines w:val="0"/>
              <w:widowControl/>
              <w:kinsoku/>
              <w:wordWrap/>
              <w:overflowPunct/>
              <w:topLinePunct w:val="0"/>
              <w:bidi w:val="0"/>
              <w:spacing w:line="590" w:lineRule="exact"/>
              <w:jc w:val="center"/>
              <w:rPr>
                <w:rFonts w:hint="default" w:ascii="Times New Roman" w:hAnsi="Times New Roman" w:eastAsia="黑体" w:cs="Times New Roman"/>
                <w:bCs/>
                <w:color w:val="auto"/>
                <w:kern w:val="0"/>
                <w:sz w:val="24"/>
                <w:szCs w:val="24"/>
                <w:highlight w:val="none"/>
              </w:rPr>
            </w:pPr>
          </w:p>
        </w:tc>
        <w:tc>
          <w:tcPr>
            <w:tcW w:w="1219" w:type="dxa"/>
            <w:vMerge w:val="continue"/>
            <w:tcBorders>
              <w:right w:val="single" w:color="auto" w:sz="4" w:space="0"/>
            </w:tcBorders>
            <w:vAlign w:val="center"/>
          </w:tcPr>
          <w:p>
            <w:pPr>
              <w:keepNext w:val="0"/>
              <w:keepLines w:val="0"/>
              <w:widowControl/>
              <w:kinsoku/>
              <w:wordWrap/>
              <w:overflowPunct/>
              <w:topLinePunct w:val="0"/>
              <w:bidi w:val="0"/>
              <w:spacing w:line="590" w:lineRule="exact"/>
              <w:jc w:val="center"/>
              <w:rPr>
                <w:rFonts w:hint="default" w:ascii="Times New Roman" w:hAnsi="Times New Roman" w:eastAsia="黑体" w:cs="Times New Roman"/>
                <w:bCs/>
                <w:color w:val="auto"/>
                <w:kern w:val="0"/>
                <w:sz w:val="24"/>
                <w:szCs w:val="24"/>
                <w:highlight w:val="none"/>
              </w:rPr>
            </w:pPr>
          </w:p>
        </w:tc>
        <w:tc>
          <w:tcPr>
            <w:tcW w:w="956"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spacing w:line="590" w:lineRule="exact"/>
              <w:jc w:val="center"/>
              <w:rPr>
                <w:rFonts w:hint="default" w:ascii="Times New Roman" w:hAnsi="Times New Roman" w:eastAsia="黑体" w:cs="Times New Roman"/>
                <w:bCs/>
                <w:color w:val="auto"/>
                <w:kern w:val="0"/>
                <w:sz w:val="24"/>
                <w:szCs w:val="24"/>
                <w:highlight w:val="none"/>
              </w:rPr>
            </w:pPr>
          </w:p>
        </w:tc>
        <w:tc>
          <w:tcPr>
            <w:tcW w:w="106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小计</w:t>
            </w:r>
          </w:p>
        </w:tc>
        <w:tc>
          <w:tcPr>
            <w:tcW w:w="121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其中：间接费用</w:t>
            </w:r>
          </w:p>
        </w:tc>
        <w:tc>
          <w:tcPr>
            <w:tcW w:w="1411" w:type="dxa"/>
            <w:vMerge w:val="continue"/>
            <w:tcBorders>
              <w:lef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50" w:type="dxa"/>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2290" w:type="dxa"/>
            <w:tcBorders>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338" w:type="dxa"/>
            <w:tcBorders>
              <w:lef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925" w:type="dxa"/>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387" w:type="dxa"/>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219" w:type="dxa"/>
            <w:tcBorders>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956" w:type="dxa"/>
            <w:tcBorders>
              <w:left w:val="single" w:color="auto" w:sz="4" w:space="0"/>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063" w:type="dxa"/>
            <w:tcBorders>
              <w:left w:val="single" w:color="auto" w:sz="4" w:space="0"/>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211" w:type="dxa"/>
            <w:tcBorders>
              <w:left w:val="single" w:color="auto" w:sz="4" w:space="0"/>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411" w:type="dxa"/>
            <w:tcBorders>
              <w:lef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50" w:type="dxa"/>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2290" w:type="dxa"/>
            <w:tcBorders>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338" w:type="dxa"/>
            <w:tcBorders>
              <w:lef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925" w:type="dxa"/>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387" w:type="dxa"/>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219" w:type="dxa"/>
            <w:tcBorders>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956" w:type="dxa"/>
            <w:tcBorders>
              <w:left w:val="single" w:color="auto" w:sz="4" w:space="0"/>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063" w:type="dxa"/>
            <w:tcBorders>
              <w:left w:val="single" w:color="auto" w:sz="4" w:space="0"/>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211" w:type="dxa"/>
            <w:tcBorders>
              <w:left w:val="single" w:color="auto" w:sz="4" w:space="0"/>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411" w:type="dxa"/>
            <w:tcBorders>
              <w:lef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909" w:type="dxa"/>
            <w:gridSpan w:val="6"/>
            <w:tcBorders>
              <w:right w:val="single" w:color="auto" w:sz="4" w:space="0"/>
            </w:tcBorders>
            <w:vAlign w:val="center"/>
          </w:tcPr>
          <w:p>
            <w:pPr>
              <w:keepNext w:val="0"/>
              <w:keepLines w:val="0"/>
              <w:kinsoku/>
              <w:wordWrap/>
              <w:overflowPunct/>
              <w:topLinePunct w:val="0"/>
              <w:bidi w:val="0"/>
              <w:spacing w:line="590" w:lineRule="exact"/>
              <w:jc w:val="center"/>
              <w:rPr>
                <w:rFonts w:hint="default" w:ascii="Times New Roman" w:hAnsi="Times New Roman" w:cs="Times New Roman"/>
                <w:color w:val="auto"/>
                <w:highlight w:val="none"/>
              </w:rPr>
            </w:pPr>
            <w:r>
              <w:rPr>
                <w:rFonts w:hint="default" w:ascii="Times New Roman" w:hAnsi="Times New Roman" w:eastAsia="黑体" w:cs="Times New Roman"/>
                <w:bCs/>
                <w:color w:val="auto"/>
                <w:kern w:val="0"/>
                <w:sz w:val="24"/>
                <w:szCs w:val="24"/>
                <w:highlight w:val="none"/>
              </w:rPr>
              <w:t>累计</w:t>
            </w:r>
          </w:p>
        </w:tc>
        <w:tc>
          <w:tcPr>
            <w:tcW w:w="956" w:type="dxa"/>
            <w:tcBorders>
              <w:left w:val="single" w:color="auto" w:sz="4" w:space="0"/>
              <w:right w:val="single" w:color="auto" w:sz="4" w:space="0"/>
            </w:tcBorders>
            <w:vAlign w:val="center"/>
          </w:tcPr>
          <w:p>
            <w:pPr>
              <w:keepNext w:val="0"/>
              <w:keepLines w:val="0"/>
              <w:kinsoku/>
              <w:wordWrap/>
              <w:overflowPunct/>
              <w:topLinePunct w:val="0"/>
              <w:bidi w:val="0"/>
              <w:spacing w:line="590" w:lineRule="exact"/>
              <w:rPr>
                <w:rFonts w:hint="default" w:ascii="Times New Roman" w:hAnsi="Times New Roman" w:cs="Times New Roman"/>
                <w:color w:val="auto"/>
                <w:highlight w:val="none"/>
              </w:rPr>
            </w:pPr>
          </w:p>
        </w:tc>
        <w:tc>
          <w:tcPr>
            <w:tcW w:w="1063" w:type="dxa"/>
            <w:tcBorders>
              <w:left w:val="single" w:color="auto" w:sz="4" w:space="0"/>
              <w:right w:val="single" w:color="auto" w:sz="4" w:space="0"/>
            </w:tcBorders>
            <w:vAlign w:val="center"/>
          </w:tcPr>
          <w:p>
            <w:pPr>
              <w:keepNext w:val="0"/>
              <w:keepLines w:val="0"/>
              <w:kinsoku/>
              <w:wordWrap/>
              <w:overflowPunct/>
              <w:topLinePunct w:val="0"/>
              <w:bidi w:val="0"/>
              <w:spacing w:line="590" w:lineRule="exact"/>
              <w:rPr>
                <w:rFonts w:hint="default" w:ascii="Times New Roman" w:hAnsi="Times New Roman" w:cs="Times New Roman"/>
                <w:color w:val="auto"/>
                <w:highlight w:val="none"/>
              </w:rPr>
            </w:pPr>
          </w:p>
        </w:tc>
        <w:tc>
          <w:tcPr>
            <w:tcW w:w="1211" w:type="dxa"/>
            <w:tcBorders>
              <w:left w:val="single" w:color="auto" w:sz="4" w:space="0"/>
              <w:right w:val="single" w:color="auto" w:sz="4" w:space="0"/>
            </w:tcBorders>
            <w:vAlign w:val="center"/>
          </w:tcPr>
          <w:p>
            <w:pPr>
              <w:keepNext w:val="0"/>
              <w:keepLines w:val="0"/>
              <w:kinsoku/>
              <w:wordWrap/>
              <w:overflowPunct/>
              <w:topLinePunct w:val="0"/>
              <w:bidi w:val="0"/>
              <w:spacing w:line="590" w:lineRule="exact"/>
              <w:rPr>
                <w:rFonts w:hint="default" w:ascii="Times New Roman" w:hAnsi="Times New Roman" w:cs="Times New Roman"/>
                <w:color w:val="auto"/>
                <w:highlight w:val="none"/>
              </w:rPr>
            </w:pPr>
          </w:p>
        </w:tc>
        <w:tc>
          <w:tcPr>
            <w:tcW w:w="1411" w:type="dxa"/>
            <w:tcBorders>
              <w:left w:val="single" w:color="auto" w:sz="4" w:space="0"/>
            </w:tcBorders>
            <w:vAlign w:val="center"/>
          </w:tcPr>
          <w:p>
            <w:pPr>
              <w:keepNext w:val="0"/>
              <w:keepLines w:val="0"/>
              <w:kinsoku/>
              <w:wordWrap/>
              <w:overflowPunct/>
              <w:topLinePunct w:val="0"/>
              <w:bidi w:val="0"/>
              <w:spacing w:line="590" w:lineRule="exact"/>
              <w:rPr>
                <w:rFonts w:hint="default" w:ascii="Times New Roman" w:hAnsi="Times New Roman" w:cs="Times New Roman"/>
                <w:color w:val="auto"/>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960" w:firstLineChars="4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注：1.单位类型为项目</w:t>
      </w:r>
      <w:r>
        <w:rPr>
          <w:rFonts w:hint="default" w:ascii="Times New Roman" w:hAnsi="Times New Roman" w:eastAsia="仿宋_GB2312" w:cs="Times New Roman"/>
          <w:color w:val="auto"/>
          <w:sz w:val="24"/>
          <w:szCs w:val="24"/>
          <w:highlight w:val="none"/>
          <w:lang w:val="en-US" w:eastAsia="zh-CN"/>
        </w:rPr>
        <w:t>牵头</w:t>
      </w:r>
      <w:r>
        <w:rPr>
          <w:rFonts w:hint="default" w:ascii="Times New Roman" w:hAnsi="Times New Roman" w:eastAsia="仿宋_GB2312" w:cs="Times New Roman"/>
          <w:color w:val="auto"/>
          <w:sz w:val="24"/>
          <w:szCs w:val="24"/>
          <w:highlight w:val="none"/>
        </w:rPr>
        <w:t>单位、项目参加单位；</w:t>
      </w:r>
    </w:p>
    <w:p>
      <w:pPr>
        <w:ind w:firstLine="1440" w:firstLineChars="6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任务分工的描述应简洁，不超过300字。</w:t>
      </w:r>
    </w:p>
    <w:p>
      <w:pPr>
        <w:pStyle w:val="2"/>
        <w:rPr>
          <w:rFonts w:hint="default" w:ascii="Times New Roman" w:hAnsi="Times New Roman" w:cs="Times New Roman"/>
        </w:rPr>
      </w:pPr>
    </w:p>
    <w:p>
      <w:pPr>
        <w:pStyle w:val="3"/>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sectPr>
          <w:pgSz w:w="16838" w:h="11906" w:orient="landscape"/>
          <w:pgMar w:top="1800" w:right="1440" w:bottom="1800" w:left="1440" w:header="851" w:footer="992" w:gutter="0"/>
          <w:pgNumType w:fmt="decimal"/>
          <w:cols w:space="425" w:num="1"/>
          <w:docGrid w:type="lines" w:linePitch="312" w:charSpace="0"/>
        </w:sectPr>
      </w:pPr>
    </w:p>
    <w:p>
      <w:pPr>
        <w:pStyle w:val="2"/>
        <w:adjustRightInd w:val="0"/>
        <w:snapToGrid w:val="0"/>
        <w:spacing w:before="289" w:beforeLines="50" w:line="460" w:lineRule="exact"/>
        <w:ind w:left="0" w:leftChars="0" w:firstLine="0" w:firstLineChars="0"/>
        <w:jc w:val="center"/>
        <w:rPr>
          <w:rFonts w:hint="default" w:ascii="Times New Roman" w:hAnsi="Times New Roman" w:eastAsia="方正小标宋简体" w:cs="Times New Roman"/>
          <w:bCs/>
          <w:color w:val="auto"/>
          <w:kern w:val="0"/>
          <w:sz w:val="36"/>
          <w:szCs w:val="36"/>
          <w:highlight w:val="none"/>
        </w:rPr>
      </w:pPr>
      <w:r>
        <w:rPr>
          <w:rFonts w:hint="default" w:ascii="Times New Roman" w:hAnsi="Times New Roman" w:eastAsia="方正小标宋简体" w:cs="Times New Roman"/>
          <w:bCs/>
          <w:color w:val="auto"/>
          <w:kern w:val="0"/>
          <w:sz w:val="36"/>
          <w:szCs w:val="36"/>
          <w:highlight w:val="none"/>
        </w:rPr>
        <w:t>项目资金预算编制说明</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仿宋_GB2312" w:cs="Times New Roman"/>
          <w:color w:val="auto"/>
          <w:sz w:val="30"/>
          <w:szCs w:val="30"/>
          <w:highlight w:val="none"/>
        </w:rPr>
      </w:pPr>
    </w:p>
    <w:p>
      <w:pPr>
        <w:keepNext w:val="0"/>
        <w:keepLines w:val="0"/>
        <w:pageBreakBefore w:val="0"/>
        <w:widowControl/>
        <w:kinsoku/>
        <w:wordWrap/>
        <w:overflowPunct/>
        <w:topLinePunct w:val="0"/>
        <w:autoSpaceDE/>
        <w:autoSpaceDN/>
        <w:bidi w:val="0"/>
        <w:adjustRightInd w:val="0"/>
        <w:snapToGrid/>
        <w:spacing w:after="0" w:line="580" w:lineRule="exact"/>
        <w:ind w:firstLine="600" w:firstLineChars="2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eastAsia="zh-CN"/>
        </w:rPr>
        <w:t>（一）</w:t>
      </w:r>
      <w:r>
        <w:rPr>
          <w:rFonts w:hint="default" w:ascii="Times New Roman" w:hAnsi="Times New Roman" w:eastAsia="仿宋_GB2312" w:cs="Times New Roman"/>
          <w:color w:val="auto"/>
          <w:sz w:val="30"/>
          <w:szCs w:val="30"/>
          <w:highlight w:val="none"/>
        </w:rPr>
        <w:t>直接费用是指在项目实施过程中发生的直接相关费用，包括设备费、业务费、劳务费三大类。</w:t>
      </w:r>
    </w:p>
    <w:p>
      <w:pPr>
        <w:keepNext w:val="0"/>
        <w:keepLines w:val="0"/>
        <w:pageBreakBefore w:val="0"/>
        <w:widowControl/>
        <w:kinsoku/>
        <w:wordWrap/>
        <w:overflowPunct/>
        <w:topLinePunct w:val="0"/>
        <w:autoSpaceDE/>
        <w:autoSpaceDN/>
        <w:bidi w:val="0"/>
        <w:adjustRightInd w:val="0"/>
        <w:snapToGrid/>
        <w:spacing w:after="0" w:line="580" w:lineRule="exact"/>
        <w:ind w:firstLine="600" w:firstLineChars="2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1.设备费:指在项目实施过程中购置或试制专用仪器设备，对现有仪器设备进行维修升级改造，以及租赁外单位仪器设备而发生的费用。计算类仪器设备和软件工具可在设备费科目列支。</w:t>
      </w:r>
    </w:p>
    <w:p>
      <w:pPr>
        <w:keepNext w:val="0"/>
        <w:keepLines w:val="0"/>
        <w:pageBreakBefore w:val="0"/>
        <w:widowControl/>
        <w:kinsoku/>
        <w:wordWrap/>
        <w:overflowPunct/>
        <w:topLinePunct w:val="0"/>
        <w:autoSpaceDE/>
        <w:autoSpaceDN/>
        <w:bidi w:val="0"/>
        <w:adjustRightInd w:val="0"/>
        <w:snapToGrid/>
        <w:spacing w:after="0" w:line="580" w:lineRule="exact"/>
        <w:ind w:firstLine="600" w:firstLineChars="2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2.业务费:是指在项目实施过程中消耗的各种材料、测试化验加工、燃料动力、档案</w:t>
      </w:r>
      <w:r>
        <w:rPr>
          <w:rFonts w:hint="default"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rPr>
        <w:t>出版/文献/信息传播/知识产权事务、会议/差旅/国际合作交流等费用，以及其他相关支出。从项目资金中列支的国际合作与交流费用不纳入“三公”经费统计范围，不受零增长要求限制。</w:t>
      </w:r>
    </w:p>
    <w:p>
      <w:pPr>
        <w:keepNext w:val="0"/>
        <w:keepLines w:val="0"/>
        <w:pageBreakBefore w:val="0"/>
        <w:widowControl/>
        <w:kinsoku/>
        <w:wordWrap/>
        <w:overflowPunct/>
        <w:topLinePunct w:val="0"/>
        <w:autoSpaceDE/>
        <w:autoSpaceDN/>
        <w:bidi w:val="0"/>
        <w:adjustRightInd w:val="0"/>
        <w:snapToGrid/>
        <w:spacing w:after="0" w:line="580" w:lineRule="exact"/>
        <w:ind w:firstLine="600" w:firstLineChars="2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3.劳务费:是指在项目实施过程中支付给参与项目的研究生、博士后、访问学者和项目聘用的研究人员、科研辅助人员、科研财务助理等的劳务性费用</w:t>
      </w:r>
      <w:r>
        <w:rPr>
          <w:rFonts w:hint="default"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rPr>
        <w:t>以及支付给临时聘请咨询专家的费用等。项目聘用人员劳务费开支标准参照本单位同类在职人员薪酬水平自主确定，其由单位缴纳的社会保险、住房公积金、职业年金纳入劳务费科目列支。专家咨询费按规定标准支付，不得支付给参与本项目研究和管理的相关工作人员。</w:t>
      </w:r>
    </w:p>
    <w:p>
      <w:pPr>
        <w:keepNext w:val="0"/>
        <w:keepLines w:val="0"/>
        <w:pageBreakBefore w:val="0"/>
        <w:widowControl/>
        <w:kinsoku/>
        <w:wordWrap/>
        <w:overflowPunct/>
        <w:topLinePunct w:val="0"/>
        <w:autoSpaceDE/>
        <w:autoSpaceDN/>
        <w:bidi w:val="0"/>
        <w:adjustRightInd w:val="0"/>
        <w:snapToGrid/>
        <w:spacing w:after="0" w:line="580" w:lineRule="exact"/>
        <w:ind w:firstLine="600" w:firstLineChars="2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val="en-US" w:eastAsia="zh-CN"/>
        </w:rPr>
        <w:t>（二）</w:t>
      </w:r>
      <w:r>
        <w:rPr>
          <w:rFonts w:hint="default" w:ascii="Times New Roman" w:hAnsi="Times New Roman" w:eastAsia="仿宋_GB2312" w:cs="Times New Roman"/>
          <w:color w:val="auto"/>
          <w:sz w:val="30"/>
          <w:szCs w:val="30"/>
          <w:highlight w:val="none"/>
        </w:rPr>
        <w:t>间接费用是指项目承担单位在组织实施项目过程中发生的无法在直接费用中列支的相关费用，包括管理费用及绩效支出。管理费用主要包括项目承担单位为项目研究提供的房屋占用，日常水、电、气、暖等消耗。绩效支出是项目承担单位为激励科研人员、科研财务助理，提高科研工作绩效安排的相关支出。探索对急需紧缺、业内认可、业绩突出的极少数高层次人才实行年薪制，所需费用可从间接费中列支，按照一项一议原则确定间接费比例。</w:t>
      </w:r>
    </w:p>
    <w:p>
      <w:pPr>
        <w:keepNext w:val="0"/>
        <w:keepLines w:val="0"/>
        <w:pageBreakBefore w:val="0"/>
        <w:widowControl/>
        <w:kinsoku/>
        <w:wordWrap/>
        <w:overflowPunct/>
        <w:topLinePunct w:val="0"/>
        <w:autoSpaceDE/>
        <w:autoSpaceDN/>
        <w:bidi w:val="0"/>
        <w:adjustRightInd w:val="0"/>
        <w:snapToGrid/>
        <w:spacing w:after="0" w:line="580" w:lineRule="exact"/>
        <w:ind w:firstLine="600" w:firstLineChars="2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间接费用按照直接费用扣除设备购置费后的一定比例核定，具体比例为:500万元及以下的部分为不超过30%，超过500万元至1000万元的部分为不超过25%,超过1000万元以上的部分为不超过20%;对数学等纯理论基础研究项目，间接费用比例为不超过60%。项目中有多个单位的，间接费用在总额范围内由项目承担单位与参加单位协商分配。项目承担单位不得在核定的间接费用以外，再以任何名义在联合专项资金中重复提取、列支相关费用。</w:t>
      </w:r>
    </w:p>
    <w:sectPr>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8BD9FD-11EF-49CB-94A8-7B45AC0A71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B9A04532-B3FA-42DD-9CA4-D3DCF9F4D10E}"/>
  </w:font>
  <w:font w:name="方正小标宋简体">
    <w:panose1 w:val="03000509000000000000"/>
    <w:charset w:val="86"/>
    <w:family w:val="script"/>
    <w:pitch w:val="default"/>
    <w:sig w:usb0="00000001" w:usb1="080E0000" w:usb2="00000000" w:usb3="00000000" w:csb0="00040000" w:csb1="00000000"/>
    <w:embedRegular r:id="rId3" w:fontKey="{CD5EFA82-B30F-470E-A0BC-18004A55ECDA}"/>
  </w:font>
  <w:font w:name="CG Times">
    <w:panose1 w:val="02020603050405020304"/>
    <w:charset w:val="00"/>
    <w:family w:val="roman"/>
    <w:pitch w:val="default"/>
    <w:sig w:usb0="00000007" w:usb1="00000000" w:usb2="00000000" w:usb3="00000000" w:csb0="00000093" w:csb1="00000000"/>
    <w:embedRegular r:id="rId4" w:fontKey="{4207EB5D-1C69-41F7-BB23-852E38AD12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40"/>
        <w:tab w:val="right" w:pos="8300"/>
      </w:tabs>
      <w:jc w:val="right"/>
      <w:rPr>
        <w:rFonts w:hAnsi="CG Times"/>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5"/>
      <w:tabs>
        <w:tab w:val="center" w:pos="4140"/>
        <w:tab w:val="right" w:pos="8300"/>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40"/>
        <w:tab w:val="right" w:pos="8300"/>
      </w:tabs>
      <w:rPr>
        <w:rFonts w:hAnsi="CG Times"/>
        <w:sz w:val="28"/>
        <w:szCs w:val="28"/>
      </w:rPr>
    </w:pPr>
  </w:p>
  <w:p>
    <w:pPr>
      <w:pStyle w:val="5"/>
      <w:tabs>
        <w:tab w:val="center" w:pos="4140"/>
        <w:tab w:val="right" w:pos="8300"/>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enter" w:pos="4140"/>
        <w:tab w:val="right" w:pos="8300"/>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3244"/>
        <w:tab w:val="center" w:pos="4140"/>
        <w:tab w:val="right" w:pos="8300"/>
      </w:tabs>
      <w:jc w:val="left"/>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OGU0ODQ0MDIzMGZlOTQyODlhYzFkNGY5M2I3YjIifQ=="/>
  </w:docVars>
  <w:rsids>
    <w:rsidRoot w:val="00A62299"/>
    <w:rsid w:val="00A62299"/>
    <w:rsid w:val="032315EE"/>
    <w:rsid w:val="0FFE17A0"/>
    <w:rsid w:val="111B00BE"/>
    <w:rsid w:val="138F668B"/>
    <w:rsid w:val="14042A4C"/>
    <w:rsid w:val="28152721"/>
    <w:rsid w:val="2870368F"/>
    <w:rsid w:val="2A6D4BE6"/>
    <w:rsid w:val="2ADF9F0D"/>
    <w:rsid w:val="356133BE"/>
    <w:rsid w:val="3AF6196E"/>
    <w:rsid w:val="3DDB69C1"/>
    <w:rsid w:val="445E6A54"/>
    <w:rsid w:val="467454A6"/>
    <w:rsid w:val="46752AE1"/>
    <w:rsid w:val="4A63280D"/>
    <w:rsid w:val="4E9B3838"/>
    <w:rsid w:val="5F785392"/>
    <w:rsid w:val="6FAE0E4E"/>
    <w:rsid w:val="76025051"/>
    <w:rsid w:val="77444A87"/>
    <w:rsid w:val="77E72A7F"/>
    <w:rsid w:val="79156236"/>
    <w:rsid w:val="7EFFEE72"/>
    <w:rsid w:val="DD77783A"/>
    <w:rsid w:val="DF7D8E17"/>
    <w:rsid w:val="FE5D6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图表目录1"/>
    <w:basedOn w:val="3"/>
    <w:next w:val="3"/>
    <w:autoRedefine/>
    <w:qFormat/>
    <w:uiPriority w:val="0"/>
    <w:pPr>
      <w:ind w:left="4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 w:type="paragraph" w:styleId="4">
    <w:name w:val="Body Text"/>
    <w:basedOn w:val="1"/>
    <w:next w:val="1"/>
    <w:qFormat/>
    <w:uiPriority w:val="0"/>
    <w:pPr>
      <w:spacing w:before="0" w:after="140" w:line="276" w:lineRule="auto"/>
    </w:pPr>
  </w:style>
  <w:style w:type="paragraph" w:styleId="5">
    <w:name w:val="footer"/>
    <w:basedOn w:val="1"/>
    <w:autoRedefine/>
    <w:qFormat/>
    <w:uiPriority w:val="99"/>
    <w:pPr>
      <w:tabs>
        <w:tab w:val="center" w:pos="4153"/>
        <w:tab w:val="right" w:pos="8306"/>
      </w:tabs>
      <w:suppressAutoHyphens/>
      <w:bidi w:val="0"/>
      <w:snapToGrid w:val="0"/>
      <w:spacing w:after="160" w:line="259" w:lineRule="auto"/>
      <w:jc w:val="left"/>
    </w:pPr>
    <w:rPr>
      <w:rFonts w:cs="Times New Roman"/>
      <w:kern w:val="0"/>
      <w:sz w:val="18"/>
      <w:szCs w:val="18"/>
    </w:rPr>
  </w:style>
  <w:style w:type="paragraph" w:styleId="6">
    <w:name w:val="header"/>
    <w:basedOn w:val="1"/>
    <w:autoRedefine/>
    <w:qFormat/>
    <w:uiPriority w:val="0"/>
    <w:pPr>
      <w:pBdr>
        <w:bottom w:val="single" w:color="auto" w:sz="6" w:space="1"/>
      </w:pBdr>
      <w:tabs>
        <w:tab w:val="center" w:pos="4153"/>
        <w:tab w:val="right" w:pos="8306"/>
      </w:tabs>
      <w:suppressAutoHyphens/>
      <w:bidi w:val="0"/>
      <w:snapToGrid w:val="0"/>
      <w:spacing w:after="160" w:line="259" w:lineRule="auto"/>
      <w:jc w:val="center"/>
    </w:pPr>
    <w:rPr>
      <w:rFonts w:cs="Times New Roman"/>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0">
    <w:name w:val="正文首行缩进 21"/>
    <w:basedOn w:val="11"/>
    <w:autoRedefine/>
    <w:qFormat/>
    <w:uiPriority w:val="0"/>
    <w:pPr>
      <w:widowControl/>
      <w:adjustRightInd w:val="0"/>
      <w:spacing w:line="300" w:lineRule="auto"/>
      <w:ind w:firstLine="420" w:firstLineChars="200"/>
      <w:jc w:val="left"/>
      <w:textAlignment w:val="baseline"/>
    </w:pPr>
    <w:rPr>
      <w:rFonts w:ascii="Arial" w:hAnsi="Arial"/>
      <w:color w:val="000000"/>
      <w:sz w:val="22"/>
      <w:lang w:eastAsia="en-US"/>
    </w:rPr>
  </w:style>
  <w:style w:type="paragraph" w:customStyle="1" w:styleId="11">
    <w:name w:val="正文文本缩进1"/>
    <w:basedOn w:val="1"/>
    <w:autoRedefine/>
    <w:qFormat/>
    <w:uiPriority w:val="0"/>
    <w:pPr>
      <w:suppressAutoHyphens/>
      <w:bidi w:val="0"/>
      <w:adjustRightInd w:val="0"/>
      <w:snapToGrid w:val="0"/>
      <w:spacing w:after="0" w:line="360" w:lineRule="auto"/>
      <w:ind w:left="1680" w:hanging="990" w:firstLineChars="200"/>
    </w:pPr>
    <w:rPr>
      <w:rFonts w:ascii="仿宋_GB2312" w:hAnsi="Times New Roman" w:eastAsia="仿宋_GB2312" w:cs="仿宋_GB2312"/>
      <w:spacing w:val="-4"/>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云南省科学技术厅</Company>
  <Pages>7</Pages>
  <Words>1638</Words>
  <Characters>1684</Characters>
  <Lines>0</Lines>
  <Paragraphs>0</Paragraphs>
  <TotalTime>0</TotalTime>
  <ScaleCrop>false</ScaleCrop>
  <LinksUpToDate>false</LinksUpToDate>
  <CharactersWithSpaces>1689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2021-12-19T14:47:00Z</dcterms:created>
  <dc:creator>vivi</dc:creator>
  <cp:lastModifiedBy>你的眼里有片海。</cp:lastModifiedBy>
  <cp:lastPrinted>2024-03-20T07:00:30Z</cp:lastPrinted>
  <dcterms:modified xsi:type="dcterms:W3CDTF">2024-03-20T07:34:46Z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F19AF4BB02204E23A5F7E4D86B1C7E5F</vt:lpwstr>
  </property>
</Properties>
</file>